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B2BBA" w14:textId="77777777" w:rsidR="00907BFE" w:rsidRPr="00CE588A" w:rsidRDefault="00AF7FE9" w:rsidP="00907BFE">
      <w:pPr>
        <w:spacing w:after="60"/>
        <w:rPr>
          <w:rFonts w:cstheme="minorHAnsi"/>
          <w:b/>
          <w:sz w:val="26"/>
          <w:szCs w:val="26"/>
        </w:rPr>
      </w:pPr>
    </w:p>
    <w:p w14:paraId="1BA10542" w14:textId="52CC9588" w:rsidR="006F477D" w:rsidRPr="00CE588A" w:rsidRDefault="00AF7FE9" w:rsidP="006F477D">
      <w:pPr>
        <w:pStyle w:val="Heading1"/>
        <w:spacing w:after="120"/>
        <w:rPr>
          <w:rFonts w:ascii="Arial" w:hAnsiTheme="minorHAnsi" w:cstheme="minorHAnsi"/>
          <w:color w:val="005EB8"/>
          <w:sz w:val="26"/>
          <w:szCs w:val="26"/>
        </w:rPr>
      </w:pPr>
      <w:r w:rsidRPr="0EA1EC58">
        <w:rPr>
          <w:color w:val="005EB8"/>
          <w:sz w:val="26"/>
          <w:szCs w:val="26"/>
        </w:rPr>
        <w:t>Swindon Locality Patient and Public Engagement Forum</w:t>
      </w:r>
      <w:r>
        <w:br/>
      </w:r>
      <w:r w:rsidRPr="0EA1EC58">
        <w:rPr>
          <w:color w:val="005EB8"/>
          <w:sz w:val="26"/>
          <w:szCs w:val="26"/>
        </w:rPr>
        <w:t xml:space="preserve">Business </w:t>
      </w:r>
      <w:r w:rsidRPr="0EA1EC58">
        <w:rPr>
          <w:color w:val="005EB8"/>
          <w:sz w:val="26"/>
          <w:szCs w:val="26"/>
        </w:rPr>
        <w:t>meeting</w:t>
      </w:r>
      <w:r w:rsidRPr="0EA1EC58">
        <w:rPr>
          <w:color w:val="005EB8"/>
          <w:sz w:val="26"/>
          <w:szCs w:val="26"/>
        </w:rPr>
        <w:t xml:space="preserve"> </w:t>
      </w:r>
      <w:r w:rsidRPr="0EA1EC58">
        <w:rPr>
          <w:color w:val="005EB8"/>
          <w:sz w:val="26"/>
          <w:szCs w:val="26"/>
        </w:rPr>
        <w:t>n</w:t>
      </w:r>
      <w:r w:rsidRPr="0EA1EC58">
        <w:rPr>
          <w:color w:val="005EB8"/>
          <w:sz w:val="26"/>
          <w:szCs w:val="26"/>
        </w:rPr>
        <w:t>otes</w:t>
      </w:r>
      <w:r w:rsidRPr="0EA1EC58">
        <w:rPr>
          <w:color w:val="005EB8"/>
          <w:sz w:val="26"/>
          <w:szCs w:val="26"/>
        </w:rPr>
        <w:t xml:space="preserve"> (draft)</w:t>
      </w:r>
    </w:p>
    <w:p w14:paraId="0B537E7C" w14:textId="2CED3DF1" w:rsidR="006F477D" w:rsidRPr="00CE588A" w:rsidRDefault="00AF7FE9" w:rsidP="006F477D">
      <w:pPr>
        <w:pStyle w:val="Heading1"/>
        <w:spacing w:after="120"/>
        <w:ind w:left="-426" w:firstLine="426"/>
        <w:rPr>
          <w:rFonts w:ascii="Arial" w:hAnsiTheme="minorHAnsi" w:cstheme="minorHAnsi"/>
          <w:color w:val="005EB8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7856A6" wp14:editId="1A159161">
            <wp:simplePos x="0" y="0"/>
            <wp:positionH relativeFrom="column">
              <wp:posOffset>-44450</wp:posOffset>
            </wp:positionH>
            <wp:positionV relativeFrom="paragraph">
              <wp:posOffset>286385</wp:posOffset>
            </wp:positionV>
            <wp:extent cx="6309995" cy="47625"/>
            <wp:effectExtent l="0" t="0" r="0" b="9525"/>
            <wp:wrapTight wrapText="bothSides">
              <wp:wrapPolygon edited="0">
                <wp:start x="0" y="0"/>
                <wp:lineTo x="0" y="17280"/>
                <wp:lineTo x="21520" y="17280"/>
                <wp:lineTo x="215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88A">
        <w:rPr>
          <w:rFonts w:ascii="Arial" w:hAnsiTheme="minorHAnsi" w:cstheme="minorHAnsi"/>
          <w:color w:val="005EB8"/>
          <w:sz w:val="26"/>
          <w:szCs w:val="26"/>
        </w:rPr>
        <w:t>Thurs</w:t>
      </w:r>
      <w:r w:rsidRPr="00CE588A">
        <w:rPr>
          <w:rFonts w:ascii="Arial" w:hAnsiTheme="minorHAnsi" w:cstheme="minorHAnsi"/>
          <w:color w:val="005EB8"/>
          <w:sz w:val="26"/>
          <w:szCs w:val="26"/>
        </w:rPr>
        <w:t xml:space="preserve">day </w:t>
      </w:r>
      <w:r w:rsidRPr="00CE588A">
        <w:rPr>
          <w:rFonts w:ascii="Arial" w:hAnsiTheme="minorHAnsi" w:cstheme="minorHAnsi"/>
          <w:color w:val="005EB8"/>
          <w:sz w:val="26"/>
          <w:szCs w:val="26"/>
        </w:rPr>
        <w:t>3 June</w:t>
      </w:r>
      <w:r w:rsidRPr="00CE588A">
        <w:rPr>
          <w:rFonts w:ascii="Arial" w:hAnsiTheme="minorHAnsi" w:cstheme="minorHAnsi"/>
          <w:color w:val="005EB8"/>
          <w:sz w:val="26"/>
          <w:szCs w:val="26"/>
        </w:rPr>
        <w:t xml:space="preserve"> 2021 | 1-2:30pm | </w:t>
      </w:r>
      <w:r w:rsidRPr="00CE588A">
        <w:rPr>
          <w:rFonts w:ascii="Arial" w:hAnsiTheme="minorHAnsi" w:cstheme="minorHAnsi"/>
          <w:color w:val="005EB8"/>
          <w:sz w:val="26"/>
          <w:szCs w:val="26"/>
        </w:rPr>
        <w:t>V</w:t>
      </w:r>
      <w:r w:rsidRPr="00CE588A">
        <w:rPr>
          <w:rFonts w:ascii="Arial" w:hAnsiTheme="minorHAnsi" w:cstheme="minorHAnsi"/>
          <w:color w:val="005EB8"/>
          <w:sz w:val="26"/>
          <w:szCs w:val="26"/>
        </w:rPr>
        <w:t>irtual meeting</w:t>
      </w:r>
      <w:r w:rsidRPr="00CE588A">
        <w:rPr>
          <w:rFonts w:ascii="Arial" w:hAnsiTheme="minorHAnsi" w:cstheme="minorHAnsi"/>
          <w:color w:val="005EB8"/>
          <w:sz w:val="26"/>
          <w:szCs w:val="26"/>
        </w:rPr>
        <w:t xml:space="preserve"> via Zoom</w:t>
      </w:r>
    </w:p>
    <w:p w14:paraId="293F1B60" w14:textId="77777777" w:rsidR="005F46E5" w:rsidRPr="00CE588A" w:rsidRDefault="00AF7FE9" w:rsidP="006F477D">
      <w:pPr>
        <w:rPr>
          <w:rFonts w:cstheme="minorHAnsi"/>
          <w:b/>
          <w:sz w:val="26"/>
          <w:szCs w:val="26"/>
        </w:rPr>
      </w:pPr>
    </w:p>
    <w:p w14:paraId="507FF558" w14:textId="750A05B8" w:rsidR="006F477D" w:rsidRPr="00CE588A" w:rsidRDefault="00AF7FE9" w:rsidP="006F477D">
      <w:pPr>
        <w:rPr>
          <w:rFonts w:cstheme="minorHAnsi"/>
          <w:b/>
          <w:sz w:val="26"/>
          <w:szCs w:val="26"/>
        </w:rPr>
      </w:pPr>
      <w:r w:rsidRPr="00CE588A">
        <w:rPr>
          <w:rFonts w:cstheme="minorHAnsi"/>
          <w:b/>
          <w:sz w:val="26"/>
          <w:szCs w:val="26"/>
        </w:rPr>
        <w:t>P</w:t>
      </w:r>
      <w:r w:rsidRPr="00CE588A">
        <w:rPr>
          <w:rFonts w:cstheme="minorHAnsi"/>
          <w:b/>
          <w:sz w:val="26"/>
          <w:szCs w:val="26"/>
        </w:rPr>
        <w:t>resent</w:t>
      </w:r>
    </w:p>
    <w:p w14:paraId="7B363D6F" w14:textId="029D15CD" w:rsidR="000843CC" w:rsidRPr="00CE588A" w:rsidRDefault="00AF7FE9" w:rsidP="006F477D">
      <w:pPr>
        <w:rPr>
          <w:rFonts w:cstheme="minorHAnsi"/>
          <w:sz w:val="26"/>
          <w:szCs w:val="26"/>
        </w:rPr>
      </w:pPr>
    </w:p>
    <w:tbl>
      <w:tblPr>
        <w:tblW w:w="103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990"/>
        <w:gridCol w:w="6750"/>
      </w:tblGrid>
      <w:tr w:rsidR="00B60A00" w:rsidRPr="00CE588A" w14:paraId="4C96A38A" w14:textId="77777777" w:rsidTr="0D6F04A0">
        <w:tc>
          <w:tcPr>
            <w:tcW w:w="2630" w:type="dxa"/>
          </w:tcPr>
          <w:p w14:paraId="355B1A60" w14:textId="77777777" w:rsidR="00B60A00" w:rsidRPr="00CE588A" w:rsidRDefault="00AF7FE9" w:rsidP="00FB5E22">
            <w:pPr>
              <w:rPr>
                <w:rFonts w:cstheme="minorHAnsi"/>
                <w:b/>
                <w:bCs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b/>
                <w:sz w:val="26"/>
                <w:szCs w:val="26"/>
                <w:lang w:eastAsia="en-GB"/>
              </w:rPr>
              <w:t>Name</w:t>
            </w:r>
          </w:p>
        </w:tc>
        <w:tc>
          <w:tcPr>
            <w:tcW w:w="990" w:type="dxa"/>
          </w:tcPr>
          <w:p w14:paraId="030FA940" w14:textId="77777777" w:rsidR="00B60A00" w:rsidRPr="00CE588A" w:rsidRDefault="00AF7FE9" w:rsidP="00FB5E22">
            <w:pPr>
              <w:rPr>
                <w:rFonts w:cstheme="minorHAnsi"/>
                <w:b/>
                <w:bCs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b/>
                <w:sz w:val="26"/>
                <w:szCs w:val="26"/>
                <w:lang w:eastAsia="en-GB"/>
              </w:rPr>
              <w:t>Initial</w:t>
            </w:r>
          </w:p>
        </w:tc>
        <w:tc>
          <w:tcPr>
            <w:tcW w:w="6750" w:type="dxa"/>
          </w:tcPr>
          <w:p w14:paraId="0ADC9D99" w14:textId="548B0360" w:rsidR="00B60A00" w:rsidRPr="00CE588A" w:rsidRDefault="00AF7FE9" w:rsidP="00FB5E22">
            <w:pPr>
              <w:rPr>
                <w:rFonts w:cstheme="minorHAnsi"/>
                <w:b/>
                <w:bCs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b/>
                <w:sz w:val="26"/>
                <w:szCs w:val="26"/>
                <w:lang w:eastAsia="en-GB"/>
              </w:rPr>
              <w:t>Job title /role</w:t>
            </w:r>
          </w:p>
        </w:tc>
      </w:tr>
      <w:tr w:rsidR="00B60A00" w:rsidRPr="00CE588A" w14:paraId="3138395C" w14:textId="77777777" w:rsidTr="0D6F04A0">
        <w:tc>
          <w:tcPr>
            <w:tcW w:w="2630" w:type="dxa"/>
          </w:tcPr>
          <w:p w14:paraId="4A0CD55E" w14:textId="77777777" w:rsidR="00B60A00" w:rsidRPr="00CE588A" w:rsidRDefault="00AF7FE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2825B59">
              <w:rPr>
                <w:sz w:val="26"/>
                <w:szCs w:val="26"/>
                <w:lang w:eastAsia="en-GB"/>
              </w:rPr>
              <w:t>Julian Kirby</w:t>
            </w:r>
          </w:p>
        </w:tc>
        <w:tc>
          <w:tcPr>
            <w:tcW w:w="990" w:type="dxa"/>
          </w:tcPr>
          <w:p w14:paraId="69624572" w14:textId="77777777" w:rsidR="00B60A00" w:rsidRPr="00CE588A" w:rsidRDefault="00AF7FE9" w:rsidP="00FB5E22">
            <w:pPr>
              <w:rPr>
                <w:rFonts w:cstheme="minorHAnsi"/>
                <w:bCs/>
                <w:sz w:val="26"/>
                <w:szCs w:val="26"/>
                <w:lang w:eastAsia="en-GB"/>
              </w:rPr>
            </w:pPr>
            <w:r>
              <w:rPr>
                <w:sz w:val="26"/>
              </w:rPr>
              <w:t>JK</w:t>
            </w:r>
          </w:p>
        </w:tc>
        <w:tc>
          <w:tcPr>
            <w:tcW w:w="6750" w:type="dxa"/>
          </w:tcPr>
          <w:p w14:paraId="7A0F1F7F" w14:textId="51B12466" w:rsidR="00B60A00" w:rsidRPr="00CE588A" w:rsidRDefault="00AF7FE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2825B59">
              <w:rPr>
                <w:sz w:val="26"/>
                <w:szCs w:val="26"/>
                <w:lang w:eastAsia="en-GB"/>
              </w:rPr>
              <w:t>Lay Member (PPE) Chair</w:t>
            </w:r>
            <w:r w:rsidRPr="02825B59">
              <w:rPr>
                <w:sz w:val="26"/>
                <w:szCs w:val="26"/>
                <w:lang w:eastAsia="en-GB"/>
              </w:rPr>
              <w:t>, BSW CCG</w:t>
            </w:r>
          </w:p>
        </w:tc>
      </w:tr>
      <w:tr w:rsidR="00B60A00" w:rsidRPr="00CE588A" w14:paraId="007C3960" w14:textId="77777777" w:rsidTr="0D6F04A0">
        <w:tc>
          <w:tcPr>
            <w:tcW w:w="2630" w:type="dxa"/>
          </w:tcPr>
          <w:p w14:paraId="54FD3964" w14:textId="77777777" w:rsidR="00B60A00" w:rsidRPr="00CE588A" w:rsidRDefault="00AF7FE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2825B59">
              <w:rPr>
                <w:sz w:val="26"/>
                <w:szCs w:val="26"/>
                <w:lang w:eastAsia="en-GB"/>
              </w:rPr>
              <w:t>Ruth Atkins</w:t>
            </w:r>
          </w:p>
        </w:tc>
        <w:tc>
          <w:tcPr>
            <w:tcW w:w="990" w:type="dxa"/>
          </w:tcPr>
          <w:p w14:paraId="118F894C" w14:textId="77777777" w:rsidR="00B60A00" w:rsidRPr="00CE588A" w:rsidRDefault="00AF7FE9" w:rsidP="00FB5E22">
            <w:pPr>
              <w:rPr>
                <w:rFonts w:cstheme="minorHAnsi"/>
                <w:bCs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sz w:val="26"/>
                <w:szCs w:val="26"/>
                <w:lang w:eastAsia="en-GB"/>
              </w:rPr>
              <w:t>RA</w:t>
            </w:r>
          </w:p>
        </w:tc>
        <w:tc>
          <w:tcPr>
            <w:tcW w:w="6750" w:type="dxa"/>
          </w:tcPr>
          <w:p w14:paraId="4A92E587" w14:textId="05A797C2" w:rsidR="00B60A00" w:rsidRPr="00CE588A" w:rsidRDefault="00AF7FE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2825B59">
              <w:rPr>
                <w:sz w:val="26"/>
                <w:szCs w:val="26"/>
                <w:lang w:eastAsia="en-GB"/>
              </w:rPr>
              <w:t>Head of Public Engagement and Insights BSW CCG</w:t>
            </w:r>
          </w:p>
        </w:tc>
      </w:tr>
      <w:tr w:rsidR="001005AD" w:rsidRPr="00CE588A" w14:paraId="63A6C43E" w14:textId="77777777" w:rsidTr="0D6F04A0">
        <w:tc>
          <w:tcPr>
            <w:tcW w:w="2630" w:type="dxa"/>
          </w:tcPr>
          <w:p w14:paraId="118418D2" w14:textId="1A2474C2" w:rsidR="001005AD" w:rsidRPr="00CE588A" w:rsidRDefault="00AF7FE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2825B59">
              <w:rPr>
                <w:sz w:val="26"/>
                <w:szCs w:val="26"/>
                <w:lang w:eastAsia="en-GB"/>
              </w:rPr>
              <w:t>Ruth Jones</w:t>
            </w:r>
          </w:p>
        </w:tc>
        <w:tc>
          <w:tcPr>
            <w:tcW w:w="990" w:type="dxa"/>
          </w:tcPr>
          <w:p w14:paraId="13B8F800" w14:textId="039FE396" w:rsidR="001005AD" w:rsidRPr="00CE588A" w:rsidRDefault="00AF7FE9" w:rsidP="001005AD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sz w:val="26"/>
                <w:szCs w:val="26"/>
                <w:lang w:eastAsia="en-GB"/>
              </w:rPr>
              <w:t>RJ</w:t>
            </w:r>
          </w:p>
        </w:tc>
        <w:tc>
          <w:tcPr>
            <w:tcW w:w="6750" w:type="dxa"/>
          </w:tcPr>
          <w:p w14:paraId="3A0EC4F5" w14:textId="14371379" w:rsidR="001005AD" w:rsidRPr="00CE588A" w:rsidRDefault="00AF7FE9" w:rsidP="001005AD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6028C5F0">
              <w:rPr>
                <w:rFonts w:cstheme="minorBidi"/>
                <w:sz w:val="26"/>
                <w:szCs w:val="26"/>
              </w:rPr>
              <w:t>Quality Manager BSW CCG</w:t>
            </w:r>
            <w:r w:rsidRPr="6028C5F0">
              <w:rPr>
                <w:rFonts w:cstheme="minorBidi"/>
                <w:sz w:val="26"/>
                <w:szCs w:val="26"/>
              </w:rPr>
              <w:t>, BaNES locality</w:t>
            </w:r>
          </w:p>
        </w:tc>
      </w:tr>
      <w:tr w:rsidR="001005AD" w:rsidRPr="00CE588A" w14:paraId="2BAF8DD3" w14:textId="77777777" w:rsidTr="0D6F04A0">
        <w:tc>
          <w:tcPr>
            <w:tcW w:w="2630" w:type="dxa"/>
          </w:tcPr>
          <w:p w14:paraId="07540A0D" w14:textId="467A02DC" w:rsidR="001005AD" w:rsidRPr="00CE588A" w:rsidRDefault="00AF7FE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2825B59">
              <w:rPr>
                <w:sz w:val="26"/>
                <w:szCs w:val="26"/>
                <w:lang w:eastAsia="en-GB"/>
              </w:rPr>
              <w:t>Emma Frost</w:t>
            </w:r>
          </w:p>
        </w:tc>
        <w:tc>
          <w:tcPr>
            <w:tcW w:w="990" w:type="dxa"/>
          </w:tcPr>
          <w:p w14:paraId="3E124427" w14:textId="51CC9787" w:rsidR="001005AD" w:rsidRPr="00CE588A" w:rsidRDefault="00AF7FE9" w:rsidP="001005AD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sz w:val="26"/>
                <w:szCs w:val="26"/>
                <w:lang w:eastAsia="en-GB"/>
              </w:rPr>
              <w:t>EF</w:t>
            </w:r>
          </w:p>
        </w:tc>
        <w:tc>
          <w:tcPr>
            <w:tcW w:w="6750" w:type="dxa"/>
          </w:tcPr>
          <w:p w14:paraId="5DCD652E" w14:textId="660CD592" w:rsidR="001005AD" w:rsidRPr="00CE588A" w:rsidRDefault="00AF7FE9" w:rsidP="4C356F10">
            <w:pPr>
              <w:rPr>
                <w:rFonts w:cstheme="minorBidi"/>
                <w:sz w:val="26"/>
                <w:szCs w:val="26"/>
              </w:rPr>
            </w:pPr>
            <w:r w:rsidRPr="6028C5F0">
              <w:rPr>
                <w:sz w:val="26"/>
                <w:szCs w:val="26"/>
                <w:lang w:eastAsia="en-GB"/>
              </w:rPr>
              <w:t>Public Engagement and Insight Manager, BSW CCG</w:t>
            </w:r>
          </w:p>
        </w:tc>
      </w:tr>
      <w:tr w:rsidR="001005AD" w:rsidRPr="00CE588A" w14:paraId="6C58AA03" w14:textId="77777777" w:rsidTr="0D6F04A0">
        <w:tc>
          <w:tcPr>
            <w:tcW w:w="2630" w:type="dxa"/>
          </w:tcPr>
          <w:p w14:paraId="27066374" w14:textId="6C9D5E2F" w:rsidR="001005AD" w:rsidRPr="00CE588A" w:rsidRDefault="00AF7FE9" w:rsidP="02825B59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350CBDD7">
              <w:rPr>
                <w:sz w:val="26"/>
                <w:szCs w:val="26"/>
                <w:lang w:eastAsia="en-GB"/>
              </w:rPr>
              <w:t>S</w:t>
            </w:r>
            <w:r>
              <w:rPr>
                <w:sz w:val="26"/>
                <w:szCs w:val="26"/>
                <w:lang w:eastAsia="en-GB"/>
              </w:rPr>
              <w:t xml:space="preserve">ara </w:t>
            </w:r>
            <w:r w:rsidRPr="350CBDD7">
              <w:rPr>
                <w:sz w:val="26"/>
                <w:szCs w:val="26"/>
                <w:lang w:eastAsia="en-GB"/>
              </w:rPr>
              <w:t>M</w:t>
            </w:r>
            <w:r>
              <w:rPr>
                <w:sz w:val="26"/>
                <w:szCs w:val="26"/>
                <w:lang w:eastAsia="en-GB"/>
              </w:rPr>
              <w:t>arriott</w:t>
            </w:r>
            <w:bookmarkStart w:id="0" w:name="_GoBack"/>
            <w:bookmarkEnd w:id="0"/>
          </w:p>
        </w:tc>
        <w:tc>
          <w:tcPr>
            <w:tcW w:w="990" w:type="dxa"/>
          </w:tcPr>
          <w:p w14:paraId="3B221994" w14:textId="7A101420" w:rsidR="001005AD" w:rsidRPr="00CE588A" w:rsidRDefault="00AF7FE9" w:rsidP="001005AD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00CE588A">
              <w:rPr>
                <w:rFonts w:cstheme="minorHAnsi"/>
                <w:sz w:val="26"/>
                <w:szCs w:val="26"/>
                <w:lang w:eastAsia="en-GB"/>
              </w:rPr>
              <w:t>SM</w:t>
            </w:r>
          </w:p>
        </w:tc>
        <w:tc>
          <w:tcPr>
            <w:tcW w:w="6750" w:type="dxa"/>
          </w:tcPr>
          <w:p w14:paraId="263C24B3" w14:textId="48F92CE4" w:rsidR="001005AD" w:rsidRPr="00CE588A" w:rsidRDefault="00AF7FE9" w:rsidP="6028C5F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6028C5F0">
              <w:rPr>
                <w:sz w:val="26"/>
                <w:szCs w:val="26"/>
                <w:lang w:eastAsia="en-GB"/>
              </w:rPr>
              <w:t>PA to Emma Frost</w:t>
            </w:r>
            <w:r w:rsidRPr="6028C5F0">
              <w:rPr>
                <w:sz w:val="26"/>
                <w:szCs w:val="26"/>
                <w:lang w:eastAsia="en-GB"/>
              </w:rPr>
              <w:t xml:space="preserve">, </w:t>
            </w:r>
            <w:r w:rsidRPr="6028C5F0">
              <w:rPr>
                <w:sz w:val="26"/>
                <w:szCs w:val="26"/>
                <w:lang w:eastAsia="en-GB"/>
              </w:rPr>
              <w:t>BSW</w:t>
            </w:r>
            <w:r w:rsidRPr="6028C5F0">
              <w:rPr>
                <w:sz w:val="26"/>
                <w:szCs w:val="26"/>
                <w:lang w:eastAsia="en-GB"/>
              </w:rPr>
              <w:t xml:space="preserve"> CCG</w:t>
            </w:r>
          </w:p>
        </w:tc>
      </w:tr>
      <w:tr w:rsidR="4C356F10" w14:paraId="16A16438" w14:textId="77777777" w:rsidTr="0D6F04A0">
        <w:tc>
          <w:tcPr>
            <w:tcW w:w="2630" w:type="dxa"/>
          </w:tcPr>
          <w:p w14:paraId="339EBCAF" w14:textId="467DB866" w:rsidR="4C356F10" w:rsidRDefault="00AF7FE9" w:rsidP="4C356F10">
            <w:pPr>
              <w:rPr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Susanna Jones</w:t>
            </w:r>
          </w:p>
        </w:tc>
        <w:tc>
          <w:tcPr>
            <w:tcW w:w="990" w:type="dxa"/>
          </w:tcPr>
          <w:p w14:paraId="2540F704" w14:textId="5A859354" w:rsidR="4C356F10" w:rsidRDefault="00AF7FE9" w:rsidP="4C356F10">
            <w:pPr>
              <w:rPr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SJ</w:t>
            </w:r>
          </w:p>
        </w:tc>
        <w:tc>
          <w:tcPr>
            <w:tcW w:w="6750" w:type="dxa"/>
          </w:tcPr>
          <w:p w14:paraId="41F10B4F" w14:textId="42F85976" w:rsidR="4C356F10" w:rsidRDefault="00AF7FE9" w:rsidP="4C356F10">
            <w:pPr>
              <w:rPr>
                <w:sz w:val="26"/>
                <w:szCs w:val="26"/>
                <w:lang w:eastAsia="en-GB"/>
              </w:rPr>
            </w:pPr>
            <w:r w:rsidRPr="350CBDD7">
              <w:rPr>
                <w:sz w:val="26"/>
                <w:szCs w:val="26"/>
                <w:lang w:eastAsia="en-GB"/>
              </w:rPr>
              <w:t>Chief Executive</w:t>
            </w:r>
            <w:r w:rsidRPr="350CBDD7">
              <w:rPr>
                <w:sz w:val="26"/>
                <w:szCs w:val="26"/>
                <w:lang w:eastAsia="en-GB"/>
              </w:rPr>
              <w:t xml:space="preserve"> Officer of </w:t>
            </w:r>
            <w:r w:rsidRPr="350CBDD7">
              <w:rPr>
                <w:sz w:val="26"/>
                <w:szCs w:val="26"/>
                <w:lang w:eastAsia="en-GB"/>
              </w:rPr>
              <w:t>Swindon Carers Centre</w:t>
            </w:r>
          </w:p>
        </w:tc>
      </w:tr>
      <w:tr w:rsidR="00B60A00" w:rsidRPr="00CE588A" w14:paraId="11F297CD" w14:textId="77777777" w:rsidTr="0D6F04A0">
        <w:tc>
          <w:tcPr>
            <w:tcW w:w="2630" w:type="dxa"/>
          </w:tcPr>
          <w:p w14:paraId="38B1B65F" w14:textId="77777777" w:rsidR="00B60A00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Steve Barnes</w:t>
            </w:r>
          </w:p>
        </w:tc>
        <w:tc>
          <w:tcPr>
            <w:tcW w:w="990" w:type="dxa"/>
          </w:tcPr>
          <w:p w14:paraId="14AE3195" w14:textId="77777777" w:rsidR="00B60A00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SB</w:t>
            </w:r>
          </w:p>
        </w:tc>
        <w:tc>
          <w:tcPr>
            <w:tcW w:w="6750" w:type="dxa"/>
          </w:tcPr>
          <w:p w14:paraId="79B0E29D" w14:textId="35AAC8F4" w:rsidR="00B60A00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32777D47">
              <w:rPr>
                <w:sz w:val="26"/>
                <w:szCs w:val="26"/>
                <w:lang w:eastAsia="en-GB"/>
              </w:rPr>
              <w:t xml:space="preserve">Trustee of </w:t>
            </w:r>
            <w:r w:rsidRPr="32777D47">
              <w:rPr>
                <w:sz w:val="26"/>
                <w:szCs w:val="26"/>
                <w:lang w:eastAsia="en-GB"/>
              </w:rPr>
              <w:t>T</w:t>
            </w:r>
            <w:r w:rsidRPr="32777D47">
              <w:rPr>
                <w:sz w:val="26"/>
                <w:szCs w:val="26"/>
                <w:lang w:eastAsia="en-GB"/>
              </w:rPr>
              <w:t xml:space="preserve">he Care Forum </w:t>
            </w:r>
            <w:r w:rsidRPr="32777D47">
              <w:rPr>
                <w:sz w:val="26"/>
                <w:szCs w:val="26"/>
                <w:lang w:eastAsia="en-GB"/>
              </w:rPr>
              <w:t>/</w:t>
            </w:r>
            <w:r w:rsidRPr="32777D47">
              <w:rPr>
                <w:sz w:val="26"/>
                <w:szCs w:val="26"/>
                <w:lang w:eastAsia="en-GB"/>
              </w:rPr>
              <w:t xml:space="preserve"> Healthwatch Swindon Volunteer</w:t>
            </w:r>
            <w:r w:rsidRPr="32777D47">
              <w:rPr>
                <w:sz w:val="26"/>
                <w:szCs w:val="26"/>
                <w:lang w:eastAsia="en-GB"/>
              </w:rPr>
              <w:t xml:space="preserve"> Advisory Board</w:t>
            </w:r>
            <w:r w:rsidRPr="32777D47">
              <w:rPr>
                <w:sz w:val="26"/>
                <w:szCs w:val="26"/>
                <w:lang w:eastAsia="en-GB"/>
              </w:rPr>
              <w:t xml:space="preserve"> / Chair of PPG, Taw Hill, Swindon</w:t>
            </w:r>
          </w:p>
        </w:tc>
      </w:tr>
      <w:tr w:rsidR="350CBDD7" w14:paraId="605460CB" w14:textId="77777777" w:rsidTr="0D6F04A0">
        <w:tc>
          <w:tcPr>
            <w:tcW w:w="2630" w:type="dxa"/>
          </w:tcPr>
          <w:p w14:paraId="5BCAE1E7" w14:textId="7F0DA61A" w:rsidR="350CBDD7" w:rsidRDefault="00AF7FE9" w:rsidP="350CBDD7">
            <w:pPr>
              <w:rPr>
                <w:rFonts w:ascii="Arial" w:hAnsi="Arial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Nazma Ramruttun</w:t>
            </w:r>
          </w:p>
        </w:tc>
        <w:tc>
          <w:tcPr>
            <w:tcW w:w="990" w:type="dxa"/>
          </w:tcPr>
          <w:p w14:paraId="0748B2AF" w14:textId="593FB965" w:rsidR="350CBDD7" w:rsidRDefault="00AF7FE9" w:rsidP="350CBDD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NR</w:t>
            </w:r>
          </w:p>
        </w:tc>
        <w:tc>
          <w:tcPr>
            <w:tcW w:w="6750" w:type="dxa"/>
          </w:tcPr>
          <w:p w14:paraId="563082A3" w14:textId="4FBFD4D2" w:rsidR="016E923F" w:rsidRDefault="00AF7FE9" w:rsidP="350CBDD7">
            <w:pPr>
              <w:rPr>
                <w:rFonts w:ascii="Arial" w:eastAsia="Arial" w:hAnsi="Arial" w:cs="Arial"/>
                <w:color w:val="000000" w:themeColor="text1"/>
                <w:sz w:val="25"/>
                <w:szCs w:val="25"/>
              </w:rPr>
            </w:pPr>
            <w:r w:rsidRPr="350CBDD7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Healthwatch Swindon Volunteer and member of </w:t>
            </w:r>
            <w:r w:rsidRPr="350CBDD7">
              <w:rPr>
                <w:rFonts w:ascii="Arial" w:eastAsia="Arial" w:hAnsi="Arial" w:cs="Arial"/>
                <w:color w:val="000000" w:themeColor="text1"/>
                <w:sz w:val="25"/>
                <w:szCs w:val="25"/>
              </w:rPr>
              <w:t>Victoria Cross PPG</w:t>
            </w:r>
          </w:p>
        </w:tc>
      </w:tr>
      <w:tr w:rsidR="001005AD" w:rsidRPr="00CE588A" w14:paraId="5570FC67" w14:textId="77777777" w:rsidTr="0D6F04A0">
        <w:tc>
          <w:tcPr>
            <w:tcW w:w="2630" w:type="dxa"/>
          </w:tcPr>
          <w:p w14:paraId="199C276E" w14:textId="32508090" w:rsidR="001005AD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Norma Thompson</w:t>
            </w:r>
          </w:p>
        </w:tc>
        <w:tc>
          <w:tcPr>
            <w:tcW w:w="990" w:type="dxa"/>
          </w:tcPr>
          <w:p w14:paraId="16A17364" w14:textId="5560F292" w:rsidR="001005AD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NT</w:t>
            </w:r>
          </w:p>
        </w:tc>
        <w:tc>
          <w:tcPr>
            <w:tcW w:w="6750" w:type="dxa"/>
          </w:tcPr>
          <w:p w14:paraId="4AD4814B" w14:textId="5769E56A" w:rsidR="001005AD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6028C5F0">
              <w:rPr>
                <w:rFonts w:cstheme="minorBidi"/>
                <w:sz w:val="26"/>
                <w:szCs w:val="26"/>
              </w:rPr>
              <w:t xml:space="preserve">Chair of Swindon Seniors Forum (SSF) </w:t>
            </w:r>
            <w:r w:rsidRPr="6028C5F0">
              <w:rPr>
                <w:rFonts w:cstheme="minorBidi"/>
                <w:sz w:val="26"/>
                <w:szCs w:val="26"/>
              </w:rPr>
              <w:t>/</w:t>
            </w:r>
            <w:r w:rsidRPr="6028C5F0">
              <w:rPr>
                <w:rFonts w:cstheme="minorBidi"/>
                <w:sz w:val="26"/>
                <w:szCs w:val="26"/>
              </w:rPr>
              <w:t xml:space="preserve"> Healthwatch Swindon Volunteer</w:t>
            </w:r>
            <w:r w:rsidRPr="6028C5F0">
              <w:rPr>
                <w:rFonts w:cstheme="minorBidi"/>
                <w:sz w:val="26"/>
                <w:szCs w:val="26"/>
              </w:rPr>
              <w:t xml:space="preserve"> / Chair of Eldene Surgery Patient Participation Group</w:t>
            </w:r>
          </w:p>
        </w:tc>
      </w:tr>
      <w:tr w:rsidR="00B60A00" w:rsidRPr="00CE588A" w14:paraId="2A578B9C" w14:textId="77777777" w:rsidTr="0D6F04A0">
        <w:tc>
          <w:tcPr>
            <w:tcW w:w="2630" w:type="dxa"/>
          </w:tcPr>
          <w:p w14:paraId="63E0895B" w14:textId="77777777" w:rsidR="00B60A00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Roy Worman</w:t>
            </w:r>
          </w:p>
        </w:tc>
        <w:tc>
          <w:tcPr>
            <w:tcW w:w="990" w:type="dxa"/>
          </w:tcPr>
          <w:p w14:paraId="3802518F" w14:textId="77777777" w:rsidR="00B60A00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RW</w:t>
            </w:r>
          </w:p>
        </w:tc>
        <w:tc>
          <w:tcPr>
            <w:tcW w:w="6750" w:type="dxa"/>
          </w:tcPr>
          <w:p w14:paraId="4BFFAB32" w14:textId="0AEC1F3B" w:rsidR="00B60A00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6028C5F0">
              <w:rPr>
                <w:sz w:val="26"/>
                <w:szCs w:val="26"/>
                <w:lang w:eastAsia="en-GB"/>
              </w:rPr>
              <w:t>Member of the public</w:t>
            </w:r>
            <w:r w:rsidRPr="6028C5F0">
              <w:rPr>
                <w:sz w:val="26"/>
                <w:szCs w:val="26"/>
                <w:lang w:eastAsia="en-GB"/>
              </w:rPr>
              <w:t xml:space="preserve"> / Medvivo</w:t>
            </w:r>
            <w:r w:rsidRPr="6028C5F0">
              <w:rPr>
                <w:sz w:val="26"/>
                <w:szCs w:val="26"/>
                <w:lang w:eastAsia="en-GB"/>
              </w:rPr>
              <w:t xml:space="preserve"> Group of 50</w:t>
            </w:r>
          </w:p>
        </w:tc>
      </w:tr>
      <w:tr w:rsidR="32777D47" w14:paraId="1A7CB15D" w14:textId="77777777" w:rsidTr="0D6F04A0">
        <w:tc>
          <w:tcPr>
            <w:tcW w:w="2630" w:type="dxa"/>
          </w:tcPr>
          <w:p w14:paraId="457AF4CC" w14:textId="72DFF4D5" w:rsidR="21288CD6" w:rsidRDefault="00AF7FE9" w:rsidP="32777D4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Julian Jones</w:t>
            </w:r>
          </w:p>
        </w:tc>
        <w:tc>
          <w:tcPr>
            <w:tcW w:w="990" w:type="dxa"/>
          </w:tcPr>
          <w:p w14:paraId="735A0FC8" w14:textId="2C01B0E0" w:rsidR="21288CD6" w:rsidRDefault="00AF7FE9" w:rsidP="350CBDD7">
            <w:pPr>
              <w:rPr>
                <w:rFonts w:ascii="Arial" w:hAnsi="Arial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JJ</w:t>
            </w:r>
          </w:p>
        </w:tc>
        <w:tc>
          <w:tcPr>
            <w:tcW w:w="6750" w:type="dxa"/>
          </w:tcPr>
          <w:p w14:paraId="0BE5702B" w14:textId="284BE669" w:rsidR="21288CD6" w:rsidRDefault="00AF7FE9" w:rsidP="32777D4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Swindon resident</w:t>
            </w:r>
          </w:p>
        </w:tc>
      </w:tr>
      <w:tr w:rsidR="27571EBF" w:rsidRPr="00CE588A" w14:paraId="406D9405" w14:textId="77777777" w:rsidTr="0D6F04A0">
        <w:tc>
          <w:tcPr>
            <w:tcW w:w="2630" w:type="dxa"/>
          </w:tcPr>
          <w:p w14:paraId="5541FA6F" w14:textId="0E560078" w:rsidR="27571EBF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Moya Pinson</w:t>
            </w:r>
          </w:p>
        </w:tc>
        <w:tc>
          <w:tcPr>
            <w:tcW w:w="990" w:type="dxa"/>
          </w:tcPr>
          <w:p w14:paraId="4F0D475F" w14:textId="56966174" w:rsidR="27571EBF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MP</w:t>
            </w:r>
          </w:p>
        </w:tc>
        <w:tc>
          <w:tcPr>
            <w:tcW w:w="6750" w:type="dxa"/>
          </w:tcPr>
          <w:p w14:paraId="79F8C1BC" w14:textId="34CEAE43" w:rsidR="27571EBF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Healthwatch Swindon Volunteer &amp; Member of PPG Forum at Ashington Way Surgery</w:t>
            </w:r>
          </w:p>
        </w:tc>
      </w:tr>
      <w:tr w:rsidR="350CBDD7" w14:paraId="3C244131" w14:textId="77777777" w:rsidTr="0D6F04A0">
        <w:tc>
          <w:tcPr>
            <w:tcW w:w="2630" w:type="dxa"/>
          </w:tcPr>
          <w:p w14:paraId="7C88F241" w14:textId="02774E4C" w:rsidR="7C092FC0" w:rsidRDefault="00AF7FE9" w:rsidP="350CBDD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Dr Sarah Blaikley</w:t>
            </w:r>
          </w:p>
        </w:tc>
        <w:tc>
          <w:tcPr>
            <w:tcW w:w="990" w:type="dxa"/>
          </w:tcPr>
          <w:p w14:paraId="65CC2067" w14:textId="0F8638D5" w:rsidR="7C092FC0" w:rsidRDefault="00AF7FE9" w:rsidP="350CBDD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DSB</w:t>
            </w:r>
          </w:p>
        </w:tc>
        <w:tc>
          <w:tcPr>
            <w:tcW w:w="6750" w:type="dxa"/>
          </w:tcPr>
          <w:p w14:paraId="0C97B9F2" w14:textId="0A66BCEE" w:rsidR="5565FA4C" w:rsidRDefault="00AF7FE9" w:rsidP="350CBDD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Mental Health Clinical Lead</w:t>
            </w: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 xml:space="preserve"> BSW CCG, GP,</w:t>
            </w: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 xml:space="preserve"> Medvivo</w:t>
            </w:r>
          </w:p>
        </w:tc>
      </w:tr>
      <w:tr w:rsidR="350CBDD7" w14:paraId="7BC8E47A" w14:textId="77777777" w:rsidTr="0D6F04A0">
        <w:tc>
          <w:tcPr>
            <w:tcW w:w="2630" w:type="dxa"/>
          </w:tcPr>
          <w:p w14:paraId="757AC802" w14:textId="76C6DEBE" w:rsidR="0843D07E" w:rsidRDefault="00AF7FE9" w:rsidP="350CBDD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 xml:space="preserve">Dr </w:t>
            </w: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Georgina Rudd</w:t>
            </w: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le</w:t>
            </w:r>
          </w:p>
        </w:tc>
        <w:tc>
          <w:tcPr>
            <w:tcW w:w="990" w:type="dxa"/>
          </w:tcPr>
          <w:p w14:paraId="3CB77884" w14:textId="0F3904AD" w:rsidR="7C092FC0" w:rsidRDefault="00AF7FE9" w:rsidP="350CBDD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GR</w:t>
            </w:r>
          </w:p>
        </w:tc>
        <w:tc>
          <w:tcPr>
            <w:tcW w:w="6750" w:type="dxa"/>
          </w:tcPr>
          <w:p w14:paraId="564CD5EA" w14:textId="24A92832" w:rsidR="3D428AFC" w:rsidRDefault="00AF7FE9" w:rsidP="350CBDD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 xml:space="preserve">Assistant Director </w:t>
            </w: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for Mental Health, Learning Disabilit</w:t>
            </w: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ies</w:t>
            </w: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 xml:space="preserve"> and Autism with BSW CCG</w:t>
            </w:r>
          </w:p>
        </w:tc>
      </w:tr>
      <w:tr w:rsidR="350CBDD7" w14:paraId="590EBD17" w14:textId="77777777" w:rsidTr="0D6F04A0">
        <w:tc>
          <w:tcPr>
            <w:tcW w:w="2630" w:type="dxa"/>
          </w:tcPr>
          <w:p w14:paraId="212AEC09" w14:textId="51677799" w:rsidR="7028DCD3" w:rsidRDefault="00AF7FE9" w:rsidP="0D6F04A0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0D6F04A0">
              <w:rPr>
                <w:rFonts w:ascii="Arial" w:hAnsi="Arial"/>
                <w:sz w:val="26"/>
                <w:szCs w:val="26"/>
                <w:lang w:eastAsia="en-GB"/>
              </w:rPr>
              <w:t>Joe B</w:t>
            </w:r>
            <w:r w:rsidRPr="0D6F04A0">
              <w:rPr>
                <w:rFonts w:ascii="Arial" w:hAnsi="Arial"/>
                <w:sz w:val="26"/>
                <w:szCs w:val="26"/>
                <w:lang w:eastAsia="en-GB"/>
              </w:rPr>
              <w:t>ackshell</w:t>
            </w:r>
          </w:p>
        </w:tc>
        <w:tc>
          <w:tcPr>
            <w:tcW w:w="990" w:type="dxa"/>
          </w:tcPr>
          <w:p w14:paraId="542ACC1C" w14:textId="06ED85A9" w:rsidR="66AB8142" w:rsidRDefault="00AF7FE9" w:rsidP="0D6F04A0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0D6F04A0">
              <w:rPr>
                <w:rFonts w:ascii="Arial" w:hAnsi="Arial"/>
                <w:sz w:val="26"/>
                <w:szCs w:val="26"/>
                <w:lang w:eastAsia="en-GB"/>
              </w:rPr>
              <w:t>JB</w:t>
            </w:r>
          </w:p>
        </w:tc>
        <w:tc>
          <w:tcPr>
            <w:tcW w:w="6750" w:type="dxa"/>
          </w:tcPr>
          <w:p w14:paraId="74828CAD" w14:textId="0625BF3F" w:rsidR="6A4C78B3" w:rsidRDefault="00AF7FE9" w:rsidP="350CBDD7">
            <w:pPr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350CBDD7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Vice Chair of Swindon Equality and Access Group / </w:t>
            </w:r>
            <w:r w:rsidRPr="350CBDD7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Healthwatch Swindon Volunteer</w:t>
            </w:r>
          </w:p>
        </w:tc>
      </w:tr>
    </w:tbl>
    <w:p w14:paraId="15D67966" w14:textId="38AFBCEF" w:rsidR="00B60A00" w:rsidRPr="00CE588A" w:rsidRDefault="00AF7FE9" w:rsidP="350CBDD7">
      <w:pPr>
        <w:rPr>
          <w:rFonts w:ascii="Arial" w:hAnsi="Arial"/>
        </w:rPr>
      </w:pPr>
    </w:p>
    <w:p w14:paraId="15C762B8" w14:textId="3C614838" w:rsidR="000843CC" w:rsidRPr="00CE588A" w:rsidRDefault="00AF7FE9" w:rsidP="350CBDD7">
      <w:pPr>
        <w:rPr>
          <w:b/>
          <w:bCs/>
          <w:sz w:val="26"/>
          <w:szCs w:val="26"/>
        </w:rPr>
      </w:pPr>
      <w:r w:rsidRPr="350CBDD7">
        <w:rPr>
          <w:b/>
          <w:bCs/>
          <w:sz w:val="26"/>
          <w:szCs w:val="26"/>
        </w:rPr>
        <w:t>Apologies:</w:t>
      </w:r>
      <w:r>
        <w:br/>
      </w:r>
    </w:p>
    <w:tbl>
      <w:tblPr>
        <w:tblW w:w="984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945"/>
        <w:gridCol w:w="5975"/>
      </w:tblGrid>
      <w:tr w:rsidR="00B60A00" w:rsidRPr="00CE588A" w14:paraId="4A1F4365" w14:textId="77777777" w:rsidTr="350CBDD7">
        <w:tc>
          <w:tcPr>
            <w:tcW w:w="2925" w:type="dxa"/>
          </w:tcPr>
          <w:p w14:paraId="0E74F9E0" w14:textId="77777777" w:rsidR="00B60A00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Name</w:t>
            </w:r>
          </w:p>
        </w:tc>
        <w:tc>
          <w:tcPr>
            <w:tcW w:w="945" w:type="dxa"/>
          </w:tcPr>
          <w:p w14:paraId="38A2D247" w14:textId="77777777" w:rsidR="00B60A00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Initial</w:t>
            </w:r>
          </w:p>
        </w:tc>
        <w:tc>
          <w:tcPr>
            <w:tcW w:w="5975" w:type="dxa"/>
          </w:tcPr>
          <w:p w14:paraId="5969C7B5" w14:textId="559FCE4C" w:rsidR="00B60A00" w:rsidRPr="00CE588A" w:rsidRDefault="00AF7FE9" w:rsidP="4C356F10">
            <w:pPr>
              <w:rPr>
                <w:rFonts w:cstheme="minorHAnsi"/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Job title /role</w:t>
            </w:r>
          </w:p>
        </w:tc>
      </w:tr>
      <w:tr w:rsidR="4C356F10" w14:paraId="490DEAAF" w14:textId="77777777" w:rsidTr="350CBDD7">
        <w:tc>
          <w:tcPr>
            <w:tcW w:w="2925" w:type="dxa"/>
          </w:tcPr>
          <w:p w14:paraId="1A7C192F" w14:textId="07C12102" w:rsidR="4C356F10" w:rsidRDefault="00AF7FE9" w:rsidP="4C356F10">
            <w:pPr>
              <w:rPr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Steve Hemmings</w:t>
            </w:r>
          </w:p>
        </w:tc>
        <w:tc>
          <w:tcPr>
            <w:tcW w:w="945" w:type="dxa"/>
          </w:tcPr>
          <w:p w14:paraId="58812597" w14:textId="0B69234D" w:rsidR="4C356F10" w:rsidRDefault="00AF7FE9" w:rsidP="4C356F10">
            <w:pPr>
              <w:rPr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SH</w:t>
            </w:r>
          </w:p>
        </w:tc>
        <w:tc>
          <w:tcPr>
            <w:tcW w:w="5975" w:type="dxa"/>
          </w:tcPr>
          <w:p w14:paraId="0791E609" w14:textId="5DDECA27" w:rsidR="4C356F10" w:rsidRDefault="00AF7FE9" w:rsidP="4C356F10">
            <w:pPr>
              <w:rPr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Moredon Medical Practice PPG</w:t>
            </w:r>
          </w:p>
        </w:tc>
      </w:tr>
      <w:tr w:rsidR="4C356F10" w14:paraId="593A3920" w14:textId="77777777" w:rsidTr="350CBDD7">
        <w:tc>
          <w:tcPr>
            <w:tcW w:w="2925" w:type="dxa"/>
          </w:tcPr>
          <w:p w14:paraId="04111D66" w14:textId="1E86D62C" w:rsidR="64F77A88" w:rsidRDefault="00AF7FE9" w:rsidP="4C356F10">
            <w:pPr>
              <w:rPr>
                <w:sz w:val="26"/>
                <w:szCs w:val="26"/>
                <w:lang w:eastAsia="en-GB"/>
              </w:rPr>
            </w:pPr>
            <w:r w:rsidRPr="4C356F10">
              <w:rPr>
                <w:sz w:val="26"/>
                <w:szCs w:val="26"/>
                <w:lang w:eastAsia="en-GB"/>
              </w:rPr>
              <w:t>Lee Rockingham</w:t>
            </w:r>
          </w:p>
        </w:tc>
        <w:tc>
          <w:tcPr>
            <w:tcW w:w="945" w:type="dxa"/>
          </w:tcPr>
          <w:p w14:paraId="102A1DEA" w14:textId="4BB73482" w:rsidR="64F77A88" w:rsidRDefault="00AF7FE9" w:rsidP="4C356F10">
            <w:pPr>
              <w:rPr>
                <w:sz w:val="26"/>
                <w:szCs w:val="26"/>
                <w:lang w:eastAsia="en-GB"/>
              </w:rPr>
            </w:pPr>
            <w:r w:rsidRPr="4D936762">
              <w:rPr>
                <w:sz w:val="26"/>
                <w:szCs w:val="26"/>
                <w:lang w:eastAsia="en-GB"/>
              </w:rPr>
              <w:t>LR</w:t>
            </w:r>
          </w:p>
        </w:tc>
        <w:tc>
          <w:tcPr>
            <w:tcW w:w="5975" w:type="dxa"/>
          </w:tcPr>
          <w:p w14:paraId="31F5A0C4" w14:textId="13858CD7" w:rsidR="64F77A88" w:rsidRDefault="00AF7FE9" w:rsidP="4C356F10">
            <w:pPr>
              <w:rPr>
                <w:sz w:val="26"/>
                <w:szCs w:val="26"/>
                <w:lang w:eastAsia="en-GB"/>
              </w:rPr>
            </w:pPr>
            <w:r w:rsidRPr="350CBDD7">
              <w:rPr>
                <w:sz w:val="26"/>
                <w:szCs w:val="26"/>
                <w:lang w:eastAsia="en-GB"/>
              </w:rPr>
              <w:t>Public Engagement Officer, BSW CCG</w:t>
            </w:r>
          </w:p>
        </w:tc>
      </w:tr>
      <w:tr w:rsidR="004B4315" w14:paraId="473BD8C7" w14:textId="77777777" w:rsidTr="350CBDD7">
        <w:tc>
          <w:tcPr>
            <w:tcW w:w="2925" w:type="dxa"/>
          </w:tcPr>
          <w:p w14:paraId="746C5D3A" w14:textId="1CFB981A" w:rsidR="7EA7C5E7" w:rsidRDefault="00AF7FE9" w:rsidP="004B4315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004B4315">
              <w:rPr>
                <w:rFonts w:ascii="Arial" w:hAnsi="Arial"/>
                <w:sz w:val="26"/>
                <w:szCs w:val="26"/>
                <w:lang w:eastAsia="en-GB"/>
              </w:rPr>
              <w:t>Ian James</w:t>
            </w:r>
          </w:p>
        </w:tc>
        <w:tc>
          <w:tcPr>
            <w:tcW w:w="945" w:type="dxa"/>
          </w:tcPr>
          <w:p w14:paraId="34FFF724" w14:textId="03EC7E23" w:rsidR="7EA7C5E7" w:rsidRDefault="00AF7FE9" w:rsidP="004B4315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4D936762">
              <w:rPr>
                <w:rFonts w:ascii="Arial" w:hAnsi="Arial"/>
                <w:sz w:val="26"/>
                <w:szCs w:val="26"/>
                <w:lang w:eastAsia="en-GB"/>
              </w:rPr>
              <w:t>IJ</w:t>
            </w:r>
          </w:p>
        </w:tc>
        <w:tc>
          <w:tcPr>
            <w:tcW w:w="5975" w:type="dxa"/>
          </w:tcPr>
          <w:p w14:paraId="35426D37" w14:textId="1FF7C9E9" w:rsidR="004B4315" w:rsidRDefault="00AF7FE9" w:rsidP="0AE910F8">
            <w:pPr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0AE910F8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Swindon Borough Council, Head of StreetSmart</w:t>
            </w:r>
          </w:p>
        </w:tc>
      </w:tr>
      <w:tr w:rsidR="32777D47" w14:paraId="0041678B" w14:textId="77777777" w:rsidTr="350CBDD7">
        <w:tc>
          <w:tcPr>
            <w:tcW w:w="2925" w:type="dxa"/>
          </w:tcPr>
          <w:p w14:paraId="0A3B4159" w14:textId="5A52BC2E" w:rsidR="27098B94" w:rsidRDefault="00AF7FE9" w:rsidP="4D936762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4D936762">
              <w:rPr>
                <w:rFonts w:ascii="Arial" w:hAnsi="Arial"/>
                <w:sz w:val="26"/>
                <w:szCs w:val="26"/>
                <w:lang w:eastAsia="en-GB"/>
              </w:rPr>
              <w:t>Jo Os</w:t>
            </w:r>
            <w:r w:rsidRPr="4D936762">
              <w:rPr>
                <w:rFonts w:ascii="Arial" w:hAnsi="Arial"/>
                <w:sz w:val="26"/>
                <w:szCs w:val="26"/>
                <w:lang w:eastAsia="en-GB"/>
              </w:rPr>
              <w:t>o</w:t>
            </w:r>
            <w:r w:rsidRPr="4D936762">
              <w:rPr>
                <w:rFonts w:ascii="Arial" w:hAnsi="Arial"/>
                <w:sz w:val="26"/>
                <w:szCs w:val="26"/>
                <w:lang w:eastAsia="en-GB"/>
              </w:rPr>
              <w:t>rio</w:t>
            </w:r>
          </w:p>
        </w:tc>
        <w:tc>
          <w:tcPr>
            <w:tcW w:w="945" w:type="dxa"/>
          </w:tcPr>
          <w:p w14:paraId="30CBA82B" w14:textId="71E09772" w:rsidR="27098B94" w:rsidRDefault="00AF7FE9" w:rsidP="4D936762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4D936762">
              <w:rPr>
                <w:rFonts w:ascii="Arial" w:hAnsi="Arial"/>
                <w:sz w:val="26"/>
                <w:szCs w:val="26"/>
                <w:lang w:eastAsia="en-GB"/>
              </w:rPr>
              <w:t>JO</w:t>
            </w:r>
          </w:p>
        </w:tc>
        <w:tc>
          <w:tcPr>
            <w:tcW w:w="5975" w:type="dxa"/>
          </w:tcPr>
          <w:p w14:paraId="0D239812" w14:textId="49D875F9" w:rsidR="7B46F25D" w:rsidRDefault="00AF7FE9" w:rsidP="32777D47">
            <w:pPr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32777D47">
              <w:rPr>
                <w:rFonts w:ascii="Arial" w:hAnsi="Arial"/>
                <w:color w:val="000000" w:themeColor="text1"/>
                <w:sz w:val="26"/>
                <w:szCs w:val="26"/>
              </w:rPr>
              <w:t>Development Officer, Healthwatch Swindon</w:t>
            </w:r>
          </w:p>
        </w:tc>
      </w:tr>
      <w:tr w:rsidR="350CBDD7" w14:paraId="7AF5AC69" w14:textId="77777777" w:rsidTr="350CBDD7">
        <w:tc>
          <w:tcPr>
            <w:tcW w:w="2925" w:type="dxa"/>
          </w:tcPr>
          <w:p w14:paraId="53BF5BA5" w14:textId="77777777" w:rsidR="350CBDD7" w:rsidRDefault="00AF7FE9" w:rsidP="350CBDD7">
            <w:pPr>
              <w:rPr>
                <w:sz w:val="26"/>
                <w:szCs w:val="26"/>
                <w:lang w:eastAsia="en-GB"/>
              </w:rPr>
            </w:pPr>
            <w:r w:rsidRPr="350CBDD7">
              <w:rPr>
                <w:sz w:val="26"/>
                <w:szCs w:val="26"/>
                <w:lang w:eastAsia="en-GB"/>
              </w:rPr>
              <w:t>Harry Dale</w:t>
            </w:r>
          </w:p>
        </w:tc>
        <w:tc>
          <w:tcPr>
            <w:tcW w:w="945" w:type="dxa"/>
          </w:tcPr>
          <w:p w14:paraId="671241CF" w14:textId="77777777" w:rsidR="350CBDD7" w:rsidRDefault="00AF7FE9" w:rsidP="350CBDD7">
            <w:pPr>
              <w:rPr>
                <w:sz w:val="26"/>
                <w:szCs w:val="26"/>
                <w:lang w:eastAsia="en-GB"/>
              </w:rPr>
            </w:pPr>
            <w:r w:rsidRPr="350CBDD7">
              <w:rPr>
                <w:sz w:val="26"/>
                <w:szCs w:val="26"/>
                <w:lang w:eastAsia="en-GB"/>
              </w:rPr>
              <w:t>HD</w:t>
            </w:r>
          </w:p>
        </w:tc>
        <w:tc>
          <w:tcPr>
            <w:tcW w:w="5975" w:type="dxa"/>
          </w:tcPr>
          <w:p w14:paraId="700B2353" w14:textId="2F1887D0" w:rsidR="350CBDD7" w:rsidRDefault="00AF7FE9" w:rsidP="350CBDD7">
            <w:pPr>
              <w:rPr>
                <w:sz w:val="26"/>
                <w:szCs w:val="26"/>
                <w:lang w:eastAsia="en-GB"/>
              </w:rPr>
            </w:pPr>
            <w:r w:rsidRPr="350CBDD7">
              <w:rPr>
                <w:sz w:val="26"/>
                <w:szCs w:val="26"/>
                <w:lang w:eastAsia="en-GB"/>
              </w:rPr>
              <w:t xml:space="preserve">PPG Chair North Swindon / Member Healthwatch </w:t>
            </w:r>
            <w:r w:rsidRPr="350CBDD7">
              <w:rPr>
                <w:sz w:val="26"/>
                <w:szCs w:val="26"/>
                <w:lang w:eastAsia="en-GB"/>
              </w:rPr>
              <w:lastRenderedPageBreak/>
              <w:t>Swindon Volunteer</w:t>
            </w:r>
            <w:r w:rsidRPr="350CBDD7">
              <w:rPr>
                <w:sz w:val="26"/>
                <w:szCs w:val="26"/>
                <w:lang w:eastAsia="en-GB"/>
              </w:rPr>
              <w:t xml:space="preserve"> / Member Primary Care Committee BSW CCG</w:t>
            </w:r>
          </w:p>
        </w:tc>
      </w:tr>
      <w:tr w:rsidR="350CBDD7" w14:paraId="7A57693F" w14:textId="77777777" w:rsidTr="350CBDD7">
        <w:tc>
          <w:tcPr>
            <w:tcW w:w="2925" w:type="dxa"/>
          </w:tcPr>
          <w:p w14:paraId="6E182CFC" w14:textId="60C150E9" w:rsidR="350CBDD7" w:rsidRDefault="00AF7FE9" w:rsidP="350CBDD7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945" w:type="dxa"/>
          </w:tcPr>
          <w:p w14:paraId="5FABC947" w14:textId="74BD1F6F" w:rsidR="350CBDD7" w:rsidRDefault="00AF7FE9" w:rsidP="350CBDD7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5975" w:type="dxa"/>
          </w:tcPr>
          <w:p w14:paraId="527C61C6" w14:textId="37D19D83" w:rsidR="0F036633" w:rsidRDefault="00AF7FE9" w:rsidP="350CBDD7">
            <w:pPr>
              <w:rPr>
                <w:rFonts w:ascii="Arial" w:hAnsi="Arial"/>
              </w:rPr>
            </w:pPr>
            <w:r w:rsidRPr="350CBDD7">
              <w:rPr>
                <w:rFonts w:cstheme="minorBidi"/>
                <w:sz w:val="26"/>
                <w:szCs w:val="26"/>
              </w:rPr>
              <w:t>Swindon SEND Families Voice</w:t>
            </w:r>
          </w:p>
        </w:tc>
      </w:tr>
      <w:tr w:rsidR="350CBDD7" w14:paraId="10F063DD" w14:textId="77777777" w:rsidTr="350CBDD7">
        <w:tc>
          <w:tcPr>
            <w:tcW w:w="2925" w:type="dxa"/>
          </w:tcPr>
          <w:p w14:paraId="2BF70480" w14:textId="1B98E71D" w:rsidR="350CBDD7" w:rsidRDefault="00AF7FE9" w:rsidP="350CBDD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Sue Carvell</w:t>
            </w:r>
          </w:p>
        </w:tc>
        <w:tc>
          <w:tcPr>
            <w:tcW w:w="945" w:type="dxa"/>
          </w:tcPr>
          <w:p w14:paraId="3E5D7C4D" w14:textId="20010BF3" w:rsidR="350CBDD7" w:rsidRDefault="00AF7FE9" w:rsidP="350CBDD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SC</w:t>
            </w:r>
          </w:p>
        </w:tc>
        <w:tc>
          <w:tcPr>
            <w:tcW w:w="5975" w:type="dxa"/>
          </w:tcPr>
          <w:p w14:paraId="5AC6DB60" w14:textId="4840B4A9" w:rsidR="350CBDD7" w:rsidRDefault="00AF7FE9" w:rsidP="350CBDD7">
            <w:pPr>
              <w:rPr>
                <w:rFonts w:ascii="Arial" w:hAnsi="Arial"/>
                <w:sz w:val="26"/>
                <w:szCs w:val="26"/>
                <w:lang w:eastAsia="en-GB"/>
              </w:rPr>
            </w:pPr>
            <w:r w:rsidRPr="350CBDD7">
              <w:rPr>
                <w:rFonts w:ascii="Arial" w:hAnsi="Arial"/>
                <w:sz w:val="26"/>
                <w:szCs w:val="26"/>
                <w:lang w:eastAsia="en-GB"/>
              </w:rPr>
              <w:t>Consultant with Brunel Federation Group</w:t>
            </w:r>
          </w:p>
        </w:tc>
      </w:tr>
      <w:tr w:rsidR="350CBDD7" w14:paraId="707EA677" w14:textId="77777777" w:rsidTr="350CBDD7">
        <w:tc>
          <w:tcPr>
            <w:tcW w:w="2925" w:type="dxa"/>
          </w:tcPr>
          <w:p w14:paraId="769B0D5A" w14:textId="6AF858B6" w:rsidR="350CBDD7" w:rsidRDefault="00AF7FE9" w:rsidP="350CBDD7">
            <w:pPr>
              <w:rPr>
                <w:sz w:val="26"/>
                <w:szCs w:val="26"/>
                <w:lang w:eastAsia="en-GB"/>
              </w:rPr>
            </w:pPr>
            <w:r w:rsidRPr="350CBDD7">
              <w:rPr>
                <w:sz w:val="26"/>
                <w:szCs w:val="26"/>
                <w:lang w:eastAsia="en-GB"/>
              </w:rPr>
              <w:t>Siddharth D Patel</w:t>
            </w:r>
          </w:p>
        </w:tc>
        <w:tc>
          <w:tcPr>
            <w:tcW w:w="945" w:type="dxa"/>
          </w:tcPr>
          <w:p w14:paraId="645D45AB" w14:textId="6F6CB947" w:rsidR="350CBDD7" w:rsidRDefault="00AF7FE9" w:rsidP="350CBDD7">
            <w:pPr>
              <w:rPr>
                <w:sz w:val="26"/>
                <w:szCs w:val="26"/>
                <w:lang w:eastAsia="en-GB"/>
              </w:rPr>
            </w:pPr>
            <w:r w:rsidRPr="350CBDD7">
              <w:rPr>
                <w:sz w:val="26"/>
                <w:szCs w:val="26"/>
                <w:lang w:eastAsia="en-GB"/>
              </w:rPr>
              <w:t>SDP</w:t>
            </w:r>
          </w:p>
        </w:tc>
        <w:tc>
          <w:tcPr>
            <w:tcW w:w="5975" w:type="dxa"/>
          </w:tcPr>
          <w:p w14:paraId="76F896F0" w14:textId="560C9D85" w:rsidR="350CBDD7" w:rsidRDefault="00AF7FE9" w:rsidP="350CBDD7">
            <w:pPr>
              <w:rPr>
                <w:rFonts w:cstheme="minorBidi"/>
                <w:sz w:val="26"/>
                <w:szCs w:val="26"/>
              </w:rPr>
            </w:pPr>
            <w:r w:rsidRPr="350CBDD7">
              <w:rPr>
                <w:rFonts w:cstheme="minorBidi"/>
                <w:sz w:val="26"/>
                <w:szCs w:val="26"/>
              </w:rPr>
              <w:t>Chairman of Hindu Samaj Swindon</w:t>
            </w:r>
          </w:p>
        </w:tc>
      </w:tr>
    </w:tbl>
    <w:p w14:paraId="2090B792" w14:textId="00FC1942" w:rsidR="00B60A00" w:rsidRPr="00CE588A" w:rsidRDefault="00AF7FE9" w:rsidP="052C1789">
      <w:pPr>
        <w:rPr>
          <w:rFonts w:cstheme="minorHAnsi"/>
          <w:sz w:val="26"/>
          <w:szCs w:val="26"/>
        </w:rPr>
      </w:pPr>
    </w:p>
    <w:p w14:paraId="2DBD1552" w14:textId="2F179CD7" w:rsidR="00907BFE" w:rsidRPr="00CE588A" w:rsidRDefault="00AF7FE9" w:rsidP="00907BFE">
      <w:pPr>
        <w:rPr>
          <w:rFonts w:cstheme="minorHAnsi"/>
          <w:b/>
          <w:sz w:val="26"/>
          <w:szCs w:val="26"/>
        </w:rPr>
      </w:pPr>
    </w:p>
    <w:p w14:paraId="37E8BED8" w14:textId="77777777" w:rsidR="00B60A00" w:rsidRPr="00CE588A" w:rsidRDefault="00AF7FE9" w:rsidP="00907BFE">
      <w:pPr>
        <w:rPr>
          <w:rFonts w:cstheme="min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195"/>
      </w:tblGrid>
      <w:tr w:rsidR="000843CC" w:rsidRPr="00CE588A" w14:paraId="55377065" w14:textId="77777777" w:rsidTr="3996C7AB">
        <w:tc>
          <w:tcPr>
            <w:tcW w:w="675" w:type="dxa"/>
          </w:tcPr>
          <w:p w14:paraId="161BDC01" w14:textId="442F35B9" w:rsidR="000843CC" w:rsidRPr="00CE588A" w:rsidRDefault="00AF7FE9" w:rsidP="00AF7FE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531" w:type="dxa"/>
          </w:tcPr>
          <w:p w14:paraId="45D3C098" w14:textId="26022F62" w:rsidR="000843CC" w:rsidRPr="00CE588A" w:rsidRDefault="00AF7FE9" w:rsidP="2BFA5302">
            <w:pPr>
              <w:spacing w:before="40" w:after="40"/>
              <w:rPr>
                <w:rFonts w:cstheme="minorHAnsi"/>
                <w:b/>
                <w:bCs/>
                <w:sz w:val="26"/>
                <w:szCs w:val="26"/>
              </w:rPr>
            </w:pPr>
            <w:r w:rsidRPr="32777D47">
              <w:rPr>
                <w:b/>
                <w:bCs/>
                <w:sz w:val="26"/>
                <w:szCs w:val="26"/>
              </w:rPr>
              <w:t>Welcome</w:t>
            </w:r>
            <w:r w:rsidRPr="32777D47">
              <w:rPr>
                <w:b/>
                <w:bCs/>
                <w:sz w:val="26"/>
                <w:szCs w:val="26"/>
              </w:rPr>
              <w:t xml:space="preserve">, </w:t>
            </w:r>
            <w:r w:rsidRPr="32777D47">
              <w:rPr>
                <w:b/>
                <w:bCs/>
                <w:sz w:val="26"/>
                <w:szCs w:val="26"/>
              </w:rPr>
              <w:t>Apologies</w:t>
            </w:r>
            <w:r w:rsidRPr="32777D47">
              <w:rPr>
                <w:b/>
                <w:bCs/>
                <w:sz w:val="26"/>
                <w:szCs w:val="26"/>
              </w:rPr>
              <w:t>, Introductions</w:t>
            </w:r>
            <w:r w:rsidRPr="32777D47">
              <w:rPr>
                <w:b/>
                <w:bCs/>
                <w:sz w:val="26"/>
                <w:szCs w:val="26"/>
              </w:rPr>
              <w:t xml:space="preserve"> </w:t>
            </w:r>
            <w:r w:rsidRPr="32777D47">
              <w:rPr>
                <w:sz w:val="26"/>
                <w:szCs w:val="26"/>
              </w:rPr>
              <w:t>(JK)</w:t>
            </w:r>
          </w:p>
        </w:tc>
      </w:tr>
      <w:tr w:rsidR="007802EF" w:rsidRPr="00CE588A" w14:paraId="6DA486CB" w14:textId="77777777" w:rsidTr="3996C7AB">
        <w:tc>
          <w:tcPr>
            <w:tcW w:w="675" w:type="dxa"/>
          </w:tcPr>
          <w:p w14:paraId="527FB60A" w14:textId="77777777" w:rsidR="007802EF" w:rsidRPr="00CE588A" w:rsidRDefault="00AF7FE9" w:rsidP="007802EF">
            <w:pPr>
              <w:pStyle w:val="ListParagraph"/>
              <w:spacing w:before="40" w:after="40"/>
              <w:ind w:left="36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31" w:type="dxa"/>
          </w:tcPr>
          <w:p w14:paraId="006BA8D5" w14:textId="734E8586" w:rsidR="052C1789" w:rsidRDefault="00AF7FE9" w:rsidP="2BFA5302">
            <w:pPr>
              <w:rPr>
                <w:sz w:val="26"/>
                <w:szCs w:val="26"/>
              </w:rPr>
            </w:pPr>
            <w:r w:rsidRPr="08CA79E9">
              <w:rPr>
                <w:sz w:val="26"/>
                <w:szCs w:val="26"/>
              </w:rPr>
              <w:t xml:space="preserve">JK opened the meeting and </w:t>
            </w:r>
            <w:r w:rsidRPr="08CA79E9">
              <w:rPr>
                <w:sz w:val="26"/>
                <w:szCs w:val="26"/>
              </w:rPr>
              <w:t>thanked everyone for attending.</w:t>
            </w:r>
            <w:r>
              <w:br/>
            </w:r>
            <w:r>
              <w:br/>
            </w:r>
            <w:r w:rsidRPr="08CA79E9">
              <w:rPr>
                <w:sz w:val="26"/>
                <w:szCs w:val="26"/>
              </w:rPr>
              <w:t>Attendees introduced themselves</w:t>
            </w:r>
            <w:r w:rsidRPr="08CA79E9">
              <w:rPr>
                <w:sz w:val="26"/>
                <w:szCs w:val="26"/>
              </w:rPr>
              <w:t>, and a</w:t>
            </w:r>
            <w:r w:rsidRPr="08CA79E9">
              <w:rPr>
                <w:sz w:val="26"/>
                <w:szCs w:val="26"/>
              </w:rPr>
              <w:t>pologies</w:t>
            </w:r>
            <w:r w:rsidRPr="08CA79E9">
              <w:rPr>
                <w:sz w:val="26"/>
                <w:szCs w:val="26"/>
              </w:rPr>
              <w:t xml:space="preserve"> were given. </w:t>
            </w:r>
          </w:p>
          <w:p w14:paraId="08778E8E" w14:textId="77777777" w:rsidR="007802EF" w:rsidRPr="00CE588A" w:rsidRDefault="00AF7FE9" w:rsidP="00D26052">
            <w:pPr>
              <w:spacing w:before="40" w:after="40"/>
              <w:outlineLvl w:val="0"/>
              <w:rPr>
                <w:rFonts w:cstheme="minorHAnsi"/>
                <w:sz w:val="26"/>
                <w:szCs w:val="26"/>
              </w:rPr>
            </w:pPr>
          </w:p>
        </w:tc>
      </w:tr>
      <w:tr w:rsidR="000843CC" w:rsidRPr="00CE588A" w14:paraId="25C130CD" w14:textId="77777777" w:rsidTr="3996C7AB">
        <w:tc>
          <w:tcPr>
            <w:tcW w:w="675" w:type="dxa"/>
          </w:tcPr>
          <w:p w14:paraId="4ADFB599" w14:textId="622CDC83" w:rsidR="000843CC" w:rsidRPr="00CE588A" w:rsidRDefault="00AF7FE9" w:rsidP="00AF7FE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531" w:type="dxa"/>
          </w:tcPr>
          <w:p w14:paraId="4293786D" w14:textId="2014E22B" w:rsidR="000843CC" w:rsidRPr="00CE588A" w:rsidRDefault="00AF7FE9" w:rsidP="2BFA5302">
            <w:pPr>
              <w:spacing w:before="40" w:after="40"/>
              <w:outlineLvl w:val="0"/>
              <w:rPr>
                <w:rFonts w:cstheme="minorHAnsi"/>
                <w:b/>
                <w:bCs/>
                <w:sz w:val="26"/>
                <w:szCs w:val="26"/>
              </w:rPr>
            </w:pPr>
            <w:r w:rsidRPr="32777D47">
              <w:rPr>
                <w:b/>
                <w:bCs/>
                <w:sz w:val="26"/>
                <w:szCs w:val="26"/>
              </w:rPr>
              <w:t xml:space="preserve">Declarations of Interest </w:t>
            </w:r>
            <w:r w:rsidRPr="32777D47">
              <w:rPr>
                <w:sz w:val="26"/>
                <w:szCs w:val="26"/>
              </w:rPr>
              <w:t>(JK)</w:t>
            </w:r>
          </w:p>
        </w:tc>
      </w:tr>
      <w:tr w:rsidR="007802EF" w:rsidRPr="00CE588A" w14:paraId="07998257" w14:textId="77777777" w:rsidTr="3996C7AB">
        <w:tc>
          <w:tcPr>
            <w:tcW w:w="675" w:type="dxa"/>
          </w:tcPr>
          <w:p w14:paraId="1878346D" w14:textId="77777777" w:rsidR="007802EF" w:rsidRPr="00CE588A" w:rsidRDefault="00AF7FE9" w:rsidP="007802EF">
            <w:pPr>
              <w:pStyle w:val="ListParagraph"/>
              <w:spacing w:before="40" w:after="40"/>
              <w:ind w:left="36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531" w:type="dxa"/>
          </w:tcPr>
          <w:p w14:paraId="48923EC0" w14:textId="77777777" w:rsidR="007802EF" w:rsidRPr="00CE588A" w:rsidRDefault="00AF7FE9" w:rsidP="052C1789">
            <w:pPr>
              <w:spacing w:before="40" w:after="40"/>
              <w:outlineLvl w:val="0"/>
              <w:rPr>
                <w:rFonts w:cstheme="minorHAnsi"/>
                <w:sz w:val="26"/>
                <w:szCs w:val="26"/>
              </w:rPr>
            </w:pPr>
            <w:r w:rsidRPr="00CE588A">
              <w:rPr>
                <w:rFonts w:cstheme="minorHAnsi"/>
                <w:sz w:val="26"/>
                <w:szCs w:val="26"/>
              </w:rPr>
              <w:t>There were no declarations of interest.</w:t>
            </w:r>
          </w:p>
          <w:p w14:paraId="56800054" w14:textId="6390E446" w:rsidR="00B60A00" w:rsidRPr="00CE588A" w:rsidRDefault="00AF7FE9" w:rsidP="00D26052">
            <w:pPr>
              <w:spacing w:before="40" w:after="40"/>
              <w:outlineLvl w:val="0"/>
              <w:rPr>
                <w:rFonts w:cstheme="minorHAnsi"/>
                <w:sz w:val="26"/>
                <w:szCs w:val="26"/>
              </w:rPr>
            </w:pPr>
          </w:p>
        </w:tc>
      </w:tr>
      <w:tr w:rsidR="000843CC" w:rsidRPr="00CE588A" w14:paraId="2411A872" w14:textId="77777777" w:rsidTr="3996C7AB">
        <w:tc>
          <w:tcPr>
            <w:tcW w:w="675" w:type="dxa"/>
          </w:tcPr>
          <w:p w14:paraId="7F79F652" w14:textId="6E14736A" w:rsidR="000843CC" w:rsidRPr="00CE588A" w:rsidRDefault="00AF7FE9" w:rsidP="00AF7FE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531" w:type="dxa"/>
          </w:tcPr>
          <w:p w14:paraId="04EB9D6E" w14:textId="241CCF63" w:rsidR="000843CC" w:rsidRPr="00CE588A" w:rsidRDefault="00AF7FE9" w:rsidP="350CBDD7">
            <w:pPr>
              <w:spacing w:before="40" w:after="40"/>
              <w:rPr>
                <w:rFonts w:cstheme="minorHAnsi"/>
                <w:sz w:val="26"/>
                <w:szCs w:val="26"/>
              </w:rPr>
            </w:pPr>
            <w:r w:rsidRPr="350CBDD7">
              <w:rPr>
                <w:b/>
                <w:bCs/>
                <w:sz w:val="26"/>
                <w:szCs w:val="26"/>
              </w:rPr>
              <w:t>Presentation on mental health, learning disabilities and autism</w:t>
            </w:r>
            <w:r w:rsidRPr="350CBDD7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802EF" w:rsidRPr="00CE588A" w14:paraId="26B082D7" w14:textId="77777777" w:rsidTr="3996C7AB">
        <w:tc>
          <w:tcPr>
            <w:tcW w:w="675" w:type="dxa"/>
          </w:tcPr>
          <w:p w14:paraId="18148502" w14:textId="77777777" w:rsidR="007802EF" w:rsidRPr="00CE588A" w:rsidRDefault="00AF7FE9" w:rsidP="08CA79E9">
            <w:pPr>
              <w:pStyle w:val="ListParagraph"/>
              <w:spacing w:before="40" w:after="40"/>
              <w:ind w:left="360"/>
            </w:pPr>
          </w:p>
        </w:tc>
        <w:tc>
          <w:tcPr>
            <w:tcW w:w="9531" w:type="dxa"/>
          </w:tcPr>
          <w:p w14:paraId="43A68FE0" w14:textId="1BF33F4D" w:rsidR="00B60A00" w:rsidRPr="00CE588A" w:rsidRDefault="00AF7FE9" w:rsidP="3996C7AB">
            <w:pPr>
              <w:spacing w:before="40" w:after="40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>
              <w:br/>
            </w:r>
            <w:r w:rsidRPr="3996C7AB">
              <w:rPr>
                <w:b/>
                <w:bCs/>
                <w:sz w:val="26"/>
                <w:szCs w:val="26"/>
              </w:rPr>
              <w:t xml:space="preserve">BSW All Age Mental Health, Learning Disability and Autism Updates: Stocktake &amp; 21/22 Roadmap </w:t>
            </w:r>
            <w:r>
              <w:br/>
            </w:r>
            <w:r w:rsidRPr="3996C7AB">
              <w:rPr>
                <w:sz w:val="26"/>
                <w:szCs w:val="26"/>
              </w:rPr>
              <w:t xml:space="preserve">Dr Sarah Blaikley,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Clinical Lead for mental health, BSW CCG</w:t>
            </w:r>
            <w:r w:rsidRPr="3996C7AB">
              <w:rPr>
                <w:sz w:val="26"/>
                <w:szCs w:val="26"/>
              </w:rPr>
              <w:t xml:space="preserve"> </w:t>
            </w:r>
            <w:r>
              <w:br/>
            </w:r>
            <w:r w:rsidRPr="3996C7AB">
              <w:rPr>
                <w:sz w:val="26"/>
                <w:szCs w:val="26"/>
              </w:rPr>
              <w:t>Dr Georgina Ruddle</w:t>
            </w:r>
            <w:r w:rsidRPr="3996C7AB">
              <w:rPr>
                <w:sz w:val="26"/>
                <w:szCs w:val="26"/>
              </w:rPr>
              <w:t xml:space="preserve">, </w:t>
            </w:r>
            <w:r w:rsidRPr="3996C7AB">
              <w:rPr>
                <w:sz w:val="26"/>
                <w:szCs w:val="26"/>
              </w:rPr>
              <w:t>Assistant Director Mental Health, Learning Disabilities &amp; Autism B</w:t>
            </w:r>
            <w:r w:rsidRPr="3996C7AB">
              <w:rPr>
                <w:sz w:val="26"/>
                <w:szCs w:val="26"/>
              </w:rPr>
              <w:t xml:space="preserve">aNES </w:t>
            </w:r>
            <w:r w:rsidRPr="3996C7AB">
              <w:rPr>
                <w:sz w:val="26"/>
                <w:szCs w:val="26"/>
              </w:rPr>
              <w:t>S</w:t>
            </w:r>
            <w:r w:rsidRPr="3996C7AB">
              <w:rPr>
                <w:sz w:val="26"/>
                <w:szCs w:val="26"/>
              </w:rPr>
              <w:t xml:space="preserve">windon and </w:t>
            </w:r>
            <w:r w:rsidRPr="3996C7AB">
              <w:rPr>
                <w:sz w:val="26"/>
                <w:szCs w:val="26"/>
              </w:rPr>
              <w:t>W</w:t>
            </w:r>
            <w:r w:rsidRPr="3996C7AB">
              <w:rPr>
                <w:sz w:val="26"/>
                <w:szCs w:val="26"/>
              </w:rPr>
              <w:t>iltshire</w:t>
            </w:r>
            <w:r w:rsidRPr="3996C7AB">
              <w:rPr>
                <w:sz w:val="26"/>
                <w:szCs w:val="26"/>
              </w:rPr>
              <w:t xml:space="preserve"> CCG</w:t>
            </w:r>
            <w:r>
              <w:br/>
            </w:r>
          </w:p>
          <w:p w14:paraId="434D8ABF" w14:textId="6B52DFDF" w:rsidR="00B60A00" w:rsidRPr="00CE588A" w:rsidRDefault="00AF7FE9" w:rsidP="3996C7AB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3996C7AB">
              <w:rPr>
                <w:b/>
                <w:bCs/>
                <w:sz w:val="28"/>
                <w:szCs w:val="28"/>
              </w:rPr>
              <w:t>Mental health; w</w:t>
            </w:r>
            <w:r w:rsidRPr="3996C7AB">
              <w:rPr>
                <w:b/>
                <w:bCs/>
                <w:sz w:val="28"/>
                <w:szCs w:val="28"/>
              </w:rPr>
              <w:t>here are we now?</w:t>
            </w:r>
          </w:p>
          <w:p w14:paraId="32B33E25" w14:textId="68157A55" w:rsidR="00B60A00" w:rsidRPr="00CE588A" w:rsidRDefault="00AF7FE9" w:rsidP="00AF7FE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>Dramatic impact in what happened with mental health,</w:t>
            </w:r>
            <w:r w:rsidRPr="3996C7AB">
              <w:rPr>
                <w:sz w:val="26"/>
                <w:szCs w:val="26"/>
              </w:rPr>
              <w:t xml:space="preserve"> escalated during lockdowns and following the easing of lockdowns, </w:t>
            </w:r>
            <w:r w:rsidRPr="3996C7AB">
              <w:rPr>
                <w:sz w:val="26"/>
                <w:szCs w:val="26"/>
              </w:rPr>
              <w:t xml:space="preserve">as a GP and access to services. </w:t>
            </w:r>
            <w:r>
              <w:br/>
            </w:r>
          </w:p>
          <w:p w14:paraId="36867430" w14:textId="26AF842C" w:rsidR="00B60A00" w:rsidRPr="00CE588A" w:rsidRDefault="00AF7FE9" w:rsidP="00AF7FE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>Need to improve access and referral to menta</w:t>
            </w:r>
            <w:r w:rsidRPr="3996C7AB">
              <w:rPr>
                <w:sz w:val="26"/>
                <w:szCs w:val="26"/>
              </w:rPr>
              <w:t>l health services. Impact across the globe, social issues as well as mental health.</w:t>
            </w:r>
            <w:r w:rsidRPr="3996C7AB">
              <w:rPr>
                <w:sz w:val="26"/>
                <w:szCs w:val="26"/>
              </w:rPr>
              <w:t xml:space="preserve"> </w:t>
            </w:r>
            <w:r>
              <w:br/>
            </w:r>
          </w:p>
          <w:p w14:paraId="3D892CD5" w14:textId="411E0F8D" w:rsidR="00B60A00" w:rsidRPr="00CE588A" w:rsidRDefault="00AF7FE9" w:rsidP="00AF7FE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>Hotspots: children and young people, LD, eating disorders, autistic spectrum disorders and early psychosis presentations.</w:t>
            </w:r>
            <w:r>
              <w:br/>
            </w:r>
          </w:p>
          <w:p w14:paraId="4BE16F54" w14:textId="146B704A" w:rsidR="00B60A00" w:rsidRPr="00CE588A" w:rsidRDefault="00AF7FE9" w:rsidP="00AF7FE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 xml:space="preserve">Workforce fatigue, national shortage of </w:t>
            </w:r>
            <w:r w:rsidRPr="3996C7AB">
              <w:rPr>
                <w:sz w:val="26"/>
                <w:szCs w:val="26"/>
              </w:rPr>
              <w:t>psychiatrists and mental health workers.</w:t>
            </w:r>
          </w:p>
          <w:p w14:paraId="3F7000E8" w14:textId="2B8D6B19" w:rsidR="00B60A00" w:rsidRPr="00CE588A" w:rsidRDefault="00AF7FE9" w:rsidP="3996C7AB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br/>
            </w:r>
            <w:r w:rsidRPr="3996C7AB">
              <w:rPr>
                <w:b/>
                <w:bCs/>
                <w:sz w:val="28"/>
                <w:szCs w:val="28"/>
              </w:rPr>
              <w:t xml:space="preserve">Mental Health </w:t>
            </w:r>
            <w:r w:rsidRPr="3996C7AB">
              <w:rPr>
                <w:b/>
                <w:bCs/>
                <w:sz w:val="28"/>
                <w:szCs w:val="28"/>
              </w:rPr>
              <w:t>Focus</w:t>
            </w:r>
            <w:r w:rsidRPr="3996C7AB">
              <w:rPr>
                <w:b/>
                <w:bCs/>
                <w:sz w:val="28"/>
                <w:szCs w:val="28"/>
              </w:rPr>
              <w:t>, performance measures</w:t>
            </w:r>
          </w:p>
          <w:p w14:paraId="6B0941CE" w14:textId="78A6DF0E" w:rsidR="00B60A00" w:rsidRPr="00CE588A" w:rsidRDefault="00AF7FE9" w:rsidP="3996C7AB">
            <w:pPr>
              <w:spacing w:before="40" w:after="40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lastRenderedPageBreak/>
              <w:t xml:space="preserve">Snapshot view of the performance of a number of services </w:t>
            </w:r>
            <w:r w:rsidRPr="3996C7AB">
              <w:rPr>
                <w:sz w:val="26"/>
                <w:szCs w:val="26"/>
              </w:rPr>
              <w:t>against the nationally set by NHS England. Access, outcomes, improvements through services. Focussed on making impr</w:t>
            </w:r>
            <w:r w:rsidRPr="3996C7AB">
              <w:rPr>
                <w:sz w:val="26"/>
                <w:szCs w:val="26"/>
              </w:rPr>
              <w:t>ovements where needed.</w:t>
            </w:r>
            <w:r>
              <w:br/>
            </w:r>
          </w:p>
          <w:p w14:paraId="7B890414" w14:textId="7887B4EB" w:rsidR="00B60A00" w:rsidRPr="00CE588A" w:rsidRDefault="00AF7FE9" w:rsidP="00AF7FE9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 xml:space="preserve">National and local dementia diagnosis rates have been in the red for the last year; undergoing remote </w:t>
            </w:r>
            <w:r w:rsidRPr="3996C7AB">
              <w:rPr>
                <w:sz w:val="26"/>
                <w:szCs w:val="26"/>
              </w:rPr>
              <w:t xml:space="preserve">memory </w:t>
            </w:r>
            <w:r w:rsidRPr="3996C7AB">
              <w:rPr>
                <w:sz w:val="26"/>
                <w:szCs w:val="26"/>
              </w:rPr>
              <w:t xml:space="preserve">assessments is really difficult. </w:t>
            </w:r>
            <w:r>
              <w:br/>
            </w:r>
          </w:p>
          <w:p w14:paraId="6BACAFD3" w14:textId="55603B21" w:rsidR="00B60A00" w:rsidRPr="00CE588A" w:rsidRDefault="00AF7FE9" w:rsidP="00AF7FE9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18 people in BaNES who are not in a bed at the moment which is high for our region.</w:t>
            </w:r>
            <w:r>
              <w:br/>
            </w:r>
          </w:p>
          <w:p w14:paraId="525558FB" w14:textId="492BC901" w:rsidR="00B60A00" w:rsidRPr="00CE588A" w:rsidRDefault="00AF7FE9" w:rsidP="3996C7AB">
            <w:pPr>
              <w:spacing w:before="40" w:after="40"/>
              <w:rPr>
                <w:rFonts w:ascii="Arial" w:eastAsia="Times New Roman" w:hAnsi="Arial" w:cs="Times New Roman"/>
                <w:color w:val="000000" w:themeColor="text1"/>
                <w:sz w:val="26"/>
                <w:szCs w:val="26"/>
              </w:rPr>
            </w:pPr>
            <w:r w:rsidRPr="3996C7AB">
              <w:rPr>
                <w:b/>
                <w:bCs/>
                <w:sz w:val="26"/>
                <w:szCs w:val="26"/>
              </w:rPr>
              <w:t xml:space="preserve">IAPT </w:t>
            </w:r>
            <w:r w:rsidRPr="3996C7AB">
              <w:rPr>
                <w:b/>
                <w:bCs/>
                <w:sz w:val="26"/>
                <w:szCs w:val="26"/>
              </w:rPr>
              <w:t xml:space="preserve">- </w:t>
            </w:r>
            <w:r w:rsidRPr="3996C7AB">
              <w:rPr>
                <w:b/>
                <w:bCs/>
                <w:sz w:val="26"/>
                <w:szCs w:val="26"/>
              </w:rPr>
              <w:t>Improving access to psychological services therapy</w:t>
            </w:r>
          </w:p>
          <w:p w14:paraId="71F3A3FF" w14:textId="05B83433" w:rsidR="00B60A00" w:rsidRPr="00CE588A" w:rsidRDefault="00AF7FE9" w:rsidP="00AF7FE9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>P</w:t>
            </w:r>
            <w:r w:rsidRPr="3996C7AB">
              <w:rPr>
                <w:sz w:val="26"/>
                <w:szCs w:val="26"/>
              </w:rPr>
              <w:t>rimary care located therapy team; decline in access rates</w:t>
            </w:r>
            <w:r w:rsidRPr="3996C7AB">
              <w:rPr>
                <w:sz w:val="26"/>
                <w:szCs w:val="26"/>
              </w:rPr>
              <w:t xml:space="preserve"> over the past year. Nationally all services had to convert from face to face to remote working. </w:t>
            </w:r>
            <w:r>
              <w:br/>
            </w:r>
          </w:p>
          <w:p w14:paraId="5BD82030" w14:textId="345D19C6" w:rsidR="00B60A00" w:rsidRPr="00CE588A" w:rsidRDefault="00AF7FE9" w:rsidP="00AF7FE9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>One to one as well as group interventions</w:t>
            </w:r>
            <w:r w:rsidRPr="3996C7AB">
              <w:rPr>
                <w:sz w:val="26"/>
                <w:szCs w:val="26"/>
              </w:rPr>
              <w:t xml:space="preserve"> proved difficult at the beginning of the pandemic. </w:t>
            </w:r>
            <w:r w:rsidRPr="3996C7AB">
              <w:rPr>
                <w:sz w:val="26"/>
                <w:szCs w:val="26"/>
              </w:rPr>
              <w:t xml:space="preserve">Starting to open back up and using full PPE. </w:t>
            </w:r>
            <w:r>
              <w:br/>
            </w:r>
          </w:p>
          <w:p w14:paraId="68599993" w14:textId="1934B61D" w:rsidR="00B60A00" w:rsidRPr="00CE588A" w:rsidRDefault="00AF7FE9" w:rsidP="00AF7FE9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>A welcomed £1.5 million investment in IAPT over the next year across BSW.</w:t>
            </w:r>
          </w:p>
          <w:p w14:paraId="26CBDD4C" w14:textId="71575497" w:rsidR="00B60A00" w:rsidRPr="00CE588A" w:rsidRDefault="00AF7FE9" w:rsidP="3996C7AB">
            <w:pPr>
              <w:spacing w:before="40" w:after="160" w:line="259" w:lineRule="auto"/>
              <w:rPr>
                <w:rFonts w:ascii="Arial" w:eastAsia="Times New Roman" w:hAnsi="Arial" w:cs="Times New Roman"/>
                <w:sz w:val="26"/>
                <w:szCs w:val="26"/>
              </w:rPr>
            </w:pPr>
            <w:r>
              <w:br/>
            </w:r>
            <w:r w:rsidRPr="3996C7A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Children’s access rates </w:t>
            </w:r>
          </w:p>
          <w:p w14:paraId="31C70315" w14:textId="64ED7D8D" w:rsidR="00B60A00" w:rsidRPr="00CE588A" w:rsidRDefault="00AF7FE9" w:rsidP="00AF7FE9">
            <w:pPr>
              <w:pStyle w:val="ListParagraph"/>
              <w:numPr>
                <w:ilvl w:val="0"/>
                <w:numId w:val="7"/>
              </w:numPr>
              <w:spacing w:before="40" w:after="160" w:line="259" w:lineRule="auto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Re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ally challenged for the same reasons as IAPT.</w:t>
            </w:r>
          </w:p>
          <w:p w14:paraId="37289E77" w14:textId="45162878" w:rsidR="00B60A00" w:rsidRPr="00CE588A" w:rsidRDefault="00AF7FE9" w:rsidP="00AF7FE9">
            <w:pPr>
              <w:pStyle w:val="ListParagraph"/>
              <w:numPr>
                <w:ilvl w:val="0"/>
                <w:numId w:val="7"/>
              </w:numPr>
              <w:spacing w:before="40" w:after="160" w:line="259" w:lineRule="auto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Success stories: early interventions for early psychosis are in the green; working with individuals age 14+. </w:t>
            </w:r>
          </w:p>
          <w:p w14:paraId="60F2F90D" w14:textId="0641495C" w:rsidR="00B60A00" w:rsidRPr="00CE588A" w:rsidRDefault="00AF7FE9" w:rsidP="3996C7AB">
            <w:pPr>
              <w:spacing w:before="40" w:after="160" w:line="259" w:lineRule="auto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Perinatal access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</w:p>
          <w:p w14:paraId="6975EE14" w14:textId="3EFD65A8" w:rsidR="00B60A00" w:rsidRPr="00CE588A" w:rsidRDefault="00AF7FE9" w:rsidP="00AF7FE9">
            <w:pPr>
              <w:pStyle w:val="ListParagraph"/>
              <w:numPr>
                <w:ilvl w:val="0"/>
                <w:numId w:val="7"/>
              </w:numPr>
              <w:spacing w:before="40" w:after="160" w:line="259" w:lineRule="auto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Showing as green but national targets have now increased pushing us into the red. Specialist team who work with women in this gr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oup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.</w:t>
            </w:r>
          </w:p>
          <w:p w14:paraId="5E58DE40" w14:textId="266F7CE7" w:rsidR="00B60A00" w:rsidRPr="00CE588A" w:rsidRDefault="00AF7FE9" w:rsidP="3996C7AB">
            <w:pPr>
              <w:spacing w:before="40" w:after="160" w:line="259" w:lineRule="auto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3996C7AB">
              <w:rPr>
                <w:b/>
                <w:bCs/>
                <w:sz w:val="26"/>
                <w:szCs w:val="26"/>
              </w:rPr>
              <w:t>Individual placement support service</w:t>
            </w:r>
            <w:r w:rsidRPr="3996C7AB">
              <w:rPr>
                <w:sz w:val="26"/>
                <w:szCs w:val="26"/>
              </w:rPr>
              <w:t xml:space="preserve"> </w:t>
            </w:r>
          </w:p>
          <w:p w14:paraId="5FF03FE4" w14:textId="66AB03B6" w:rsidR="00B60A00" w:rsidRPr="00CE588A" w:rsidRDefault="00AF7FE9" w:rsidP="00AF7FE9">
            <w:pPr>
              <w:pStyle w:val="ListParagraph"/>
              <w:numPr>
                <w:ilvl w:val="0"/>
                <w:numId w:val="7"/>
              </w:numPr>
              <w:spacing w:before="40" w:after="160" w:line="259" w:lineRule="auto"/>
              <w:rPr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>S</w:t>
            </w:r>
            <w:r w:rsidRPr="3996C7AB">
              <w:rPr>
                <w:sz w:val="26"/>
                <w:szCs w:val="26"/>
              </w:rPr>
              <w:t xml:space="preserve">upport people to maintain or gain employment or education. Remained active throughout the pandemic. </w:t>
            </w:r>
          </w:p>
          <w:p w14:paraId="02E2B8AB" w14:textId="6187C51A" w:rsidR="00B60A00" w:rsidRPr="00CE588A" w:rsidRDefault="00AF7FE9" w:rsidP="3996C7AB">
            <w:pPr>
              <w:spacing w:before="40" w:after="160" w:line="259" w:lineRule="auto"/>
              <w:rPr>
                <w:rFonts w:ascii="Arial" w:eastAsia="Times New Roman" w:hAnsi="Arial" w:cs="Times New Roman"/>
                <w:color w:val="000000" w:themeColor="text1"/>
                <w:sz w:val="26"/>
                <w:szCs w:val="26"/>
              </w:rPr>
            </w:pPr>
            <w:r w:rsidRPr="3996C7AB">
              <w:rPr>
                <w:b/>
                <w:bCs/>
                <w:sz w:val="26"/>
                <w:szCs w:val="26"/>
              </w:rPr>
              <w:t>Overview of worry areas</w:t>
            </w:r>
            <w:r w:rsidRPr="3996C7AB">
              <w:rPr>
                <w:b/>
                <w:bCs/>
                <w:sz w:val="26"/>
                <w:szCs w:val="26"/>
              </w:rPr>
              <w:t>; c</w:t>
            </w:r>
            <w:r w:rsidRPr="3996C7AB">
              <w:rPr>
                <w:b/>
                <w:bCs/>
                <w:sz w:val="26"/>
                <w:szCs w:val="26"/>
              </w:rPr>
              <w:t>hildren and young person’s access rates</w:t>
            </w:r>
            <w:r w:rsidRPr="3996C7AB">
              <w:rPr>
                <w:sz w:val="26"/>
                <w:szCs w:val="26"/>
              </w:rPr>
              <w:t xml:space="preserve"> </w:t>
            </w:r>
          </w:p>
          <w:p w14:paraId="4CE3C357" w14:textId="523C03EC" w:rsidR="00B60A00" w:rsidRPr="00CE588A" w:rsidRDefault="00AF7FE9" w:rsidP="00AF7FE9">
            <w:pPr>
              <w:pStyle w:val="ListParagraph"/>
              <w:numPr>
                <w:ilvl w:val="0"/>
                <w:numId w:val="6"/>
              </w:numPr>
              <w:spacing w:before="40" w:after="160" w:line="259" w:lineRule="auto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>N</w:t>
            </w:r>
            <w:r w:rsidRPr="3996C7AB">
              <w:rPr>
                <w:sz w:val="26"/>
                <w:szCs w:val="26"/>
              </w:rPr>
              <w:t xml:space="preserve">ot just about CAMHS; have 40 services that </w:t>
            </w:r>
            <w:r w:rsidRPr="3996C7AB">
              <w:rPr>
                <w:sz w:val="26"/>
                <w:szCs w:val="26"/>
              </w:rPr>
              <w:t xml:space="preserve">collectively </w:t>
            </w:r>
            <w:r w:rsidRPr="3996C7AB">
              <w:rPr>
                <w:sz w:val="26"/>
                <w:szCs w:val="26"/>
              </w:rPr>
              <w:t>provide access to mental health support. Decline across the provider</w:t>
            </w:r>
            <w:r w:rsidRPr="3996C7AB">
              <w:rPr>
                <w:sz w:val="26"/>
                <w:szCs w:val="26"/>
              </w:rPr>
              <w:t>s</w:t>
            </w:r>
            <w:r w:rsidRPr="3996C7AB">
              <w:rPr>
                <w:sz w:val="26"/>
                <w:szCs w:val="26"/>
              </w:rPr>
              <w:t xml:space="preserve"> but</w:t>
            </w:r>
            <w:r w:rsidRPr="3996C7AB">
              <w:rPr>
                <w:sz w:val="26"/>
                <w:szCs w:val="26"/>
              </w:rPr>
              <w:t xml:space="preserve"> an increase in the more severe need</w:t>
            </w:r>
            <w:r w:rsidRPr="3996C7AB">
              <w:rPr>
                <w:sz w:val="26"/>
                <w:szCs w:val="26"/>
              </w:rPr>
              <w:t>s</w:t>
            </w:r>
            <w:r w:rsidRPr="3996C7AB">
              <w:rPr>
                <w:sz w:val="26"/>
                <w:szCs w:val="26"/>
              </w:rPr>
              <w:t xml:space="preserve">. </w:t>
            </w:r>
            <w:r>
              <w:br/>
            </w:r>
          </w:p>
          <w:p w14:paraId="2AE063A3" w14:textId="41E67B16" w:rsidR="00B60A00" w:rsidRPr="00CE588A" w:rsidRDefault="00AF7FE9" w:rsidP="00AF7FE9">
            <w:pPr>
              <w:pStyle w:val="ListParagraph"/>
              <w:numPr>
                <w:ilvl w:val="0"/>
                <w:numId w:val="6"/>
              </w:numPr>
              <w:spacing w:before="40" w:after="160" w:line="259" w:lineRule="auto"/>
              <w:rPr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>People have presented as lock time eased</w:t>
            </w:r>
            <w:r w:rsidRPr="3996C7AB">
              <w:rPr>
                <w:sz w:val="26"/>
                <w:szCs w:val="26"/>
              </w:rPr>
              <w:t xml:space="preserve">, expecting a further surge in </w:t>
            </w:r>
            <w:r w:rsidRPr="3996C7AB">
              <w:rPr>
                <w:sz w:val="26"/>
                <w:szCs w:val="26"/>
              </w:rPr>
              <w:lastRenderedPageBreak/>
              <w:t>the future.</w:t>
            </w:r>
            <w:r w:rsidRPr="3996C7AB">
              <w:rPr>
                <w:sz w:val="26"/>
                <w:szCs w:val="26"/>
              </w:rPr>
              <w:t xml:space="preserve"> </w:t>
            </w:r>
            <w:r>
              <w:br/>
            </w:r>
          </w:p>
          <w:p w14:paraId="0AE7144F" w14:textId="63BBB629" w:rsidR="00B60A00" w:rsidRPr="00CE588A" w:rsidRDefault="00AF7FE9" w:rsidP="00AF7FE9">
            <w:pPr>
              <w:pStyle w:val="ListParagraph"/>
              <w:numPr>
                <w:ilvl w:val="0"/>
                <w:numId w:val="6"/>
              </w:numPr>
              <w:spacing w:before="40" w:after="160" w:line="259" w:lineRule="auto"/>
              <w:rPr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>Looking at how we can support more people</w:t>
            </w:r>
            <w:r w:rsidRPr="3996C7AB">
              <w:rPr>
                <w:sz w:val="26"/>
                <w:szCs w:val="26"/>
              </w:rPr>
              <w:t xml:space="preserve">, </w:t>
            </w:r>
            <w:r w:rsidRPr="3996C7AB">
              <w:rPr>
                <w:sz w:val="26"/>
                <w:szCs w:val="26"/>
              </w:rPr>
              <w:t>particularly with workforce pressures</w:t>
            </w:r>
            <w:r w:rsidRPr="3996C7AB">
              <w:rPr>
                <w:sz w:val="26"/>
                <w:szCs w:val="26"/>
              </w:rPr>
              <w:t xml:space="preserve">;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Workforce pressures; recruitment and retention plans are in place – consultant and trainee roles.</w:t>
            </w:r>
          </w:p>
          <w:p w14:paraId="6BD04CF7" w14:textId="7241F29D" w:rsidR="00B60A00" w:rsidRPr="00CE588A" w:rsidRDefault="00AF7FE9" w:rsidP="3996C7AB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b/>
                <w:bCs/>
                <w:sz w:val="26"/>
                <w:szCs w:val="26"/>
              </w:rPr>
              <w:t>What</w:t>
            </w:r>
            <w:r w:rsidRPr="3996C7AB">
              <w:rPr>
                <w:b/>
                <w:bCs/>
                <w:sz w:val="26"/>
                <w:szCs w:val="26"/>
              </w:rPr>
              <w:t xml:space="preserve"> have people told us</w:t>
            </w:r>
            <w:r w:rsidRPr="3996C7AB">
              <w:rPr>
                <w:b/>
                <w:bCs/>
                <w:sz w:val="26"/>
                <w:szCs w:val="26"/>
              </w:rPr>
              <w:t>?</w:t>
            </w:r>
          </w:p>
          <w:p w14:paraId="25B80DDD" w14:textId="3A187638" w:rsidR="00B60A00" w:rsidRPr="00CE588A" w:rsidRDefault="00AF7FE9" w:rsidP="00AF7FE9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 xml:space="preserve">Listening event and questionnaires in October 2020, including staff, </w:t>
            </w:r>
            <w:r w:rsidRPr="3996C7AB">
              <w:rPr>
                <w:sz w:val="26"/>
                <w:szCs w:val="26"/>
              </w:rPr>
              <w:t>patients with lived expe</w:t>
            </w:r>
            <w:r w:rsidRPr="3996C7AB">
              <w:rPr>
                <w:sz w:val="26"/>
                <w:szCs w:val="26"/>
              </w:rPr>
              <w:t>rience and mental health concerns</w:t>
            </w:r>
            <w:r w:rsidRPr="3996C7AB">
              <w:rPr>
                <w:sz w:val="26"/>
                <w:szCs w:val="26"/>
              </w:rPr>
              <w:t>;</w:t>
            </w:r>
            <w:r w:rsidRPr="3996C7AB">
              <w:rPr>
                <w:sz w:val="26"/>
                <w:szCs w:val="26"/>
              </w:rPr>
              <w:t xml:space="preserve"> we audited families, carers and support</w:t>
            </w:r>
            <w:r w:rsidRPr="3996C7AB">
              <w:rPr>
                <w:sz w:val="26"/>
                <w:szCs w:val="26"/>
              </w:rPr>
              <w:t>s</w:t>
            </w:r>
            <w:r w:rsidRPr="3996C7AB">
              <w:rPr>
                <w:sz w:val="26"/>
                <w:szCs w:val="26"/>
              </w:rPr>
              <w:t xml:space="preserve">. </w:t>
            </w:r>
          </w:p>
          <w:p w14:paraId="120110E9" w14:textId="0AF32E5B" w:rsidR="00B60A00" w:rsidRPr="00CE588A" w:rsidRDefault="00AF7FE9" w:rsidP="3996C7AB">
            <w:pPr>
              <w:spacing w:before="40" w:after="40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3996C7AB">
              <w:rPr>
                <w:b/>
                <w:bCs/>
                <w:sz w:val="26"/>
                <w:szCs w:val="26"/>
              </w:rPr>
              <w:t>Results</w:t>
            </w:r>
          </w:p>
          <w:p w14:paraId="65C32E05" w14:textId="543D4744" w:rsidR="00B60A00" w:rsidRPr="00CE588A" w:rsidRDefault="00AF7FE9" w:rsidP="00AF7FE9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>Current mental health platform is inconsistent and one size does not fit all.</w:t>
            </w:r>
            <w:r w:rsidRPr="3996C7AB">
              <w:rPr>
                <w:sz w:val="26"/>
                <w:szCs w:val="26"/>
              </w:rPr>
              <w:t xml:space="preserve"> </w:t>
            </w:r>
            <w:r>
              <w:br/>
            </w:r>
          </w:p>
          <w:p w14:paraId="2701B736" w14:textId="47983BB8" w:rsidR="00B60A00" w:rsidRPr="00CE588A" w:rsidRDefault="00AF7FE9" w:rsidP="00AF7FE9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Good bits, bad bits and patients miss the face to face sitting in a room interaction with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healthcare professionals.</w:t>
            </w:r>
            <w:r>
              <w:br/>
            </w:r>
          </w:p>
          <w:p w14:paraId="04630A34" w14:textId="2BA3228F" w:rsidR="00B60A00" w:rsidRPr="00CE588A" w:rsidRDefault="00AF7FE9" w:rsidP="00AF7FE9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People feel like it’s their responsibility to continually reach out for mental health response.</w:t>
            </w:r>
            <w:r>
              <w:br/>
            </w:r>
          </w:p>
          <w:p w14:paraId="27C8AB80" w14:textId="407F0ADB" w:rsidR="00B60A00" w:rsidRPr="00CE588A" w:rsidRDefault="00AF7FE9" w:rsidP="00AF7FE9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Referrals from clinicians for patients to instigate the next step by phone, video, Zoom communications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have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impacted patients’ durin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g the pandemic, producing very difficult situations for those who don’t want to use these forms of communication.</w:t>
            </w:r>
            <w:r>
              <w:br/>
            </w:r>
          </w:p>
          <w:p w14:paraId="5C89FE21" w14:textId="255FEA42" w:rsidR="00B60A00" w:rsidRPr="00CE588A" w:rsidRDefault="00AF7FE9" w:rsidP="00AF7FE9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Individuals and providers not talking to each other, so patient history is being taken numerous times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;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in difficult times, individuals not su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re who to turn to for support. </w:t>
            </w:r>
            <w:r>
              <w:br/>
            </w:r>
          </w:p>
          <w:p w14:paraId="6614CA9C" w14:textId="75A83852" w:rsidR="00B60A00" w:rsidRPr="00CE588A" w:rsidRDefault="00AF7FE9" w:rsidP="00AF7FE9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GPs finding that appointments with patients are not to discuss medical matters but more about social aspects of people’s lives.</w:t>
            </w:r>
            <w:r>
              <w:br/>
            </w:r>
          </w:p>
          <w:p w14:paraId="17208EF7" w14:textId="2452156A" w:rsidR="00B60A00" w:rsidRPr="00CE588A" w:rsidRDefault="00AF7FE9" w:rsidP="00AF7FE9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Digital aspect has been tricky for clinicians and patients; staff want to be flexible and resilient for patients.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 </w:t>
            </w:r>
            <w:r>
              <w:br/>
            </w:r>
          </w:p>
          <w:p w14:paraId="5919C9AB" w14:textId="328952EF" w:rsidR="00B60A00" w:rsidRPr="00CE588A" w:rsidRDefault="00AF7FE9" w:rsidP="3996C7AB">
            <w:p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Strategic plans: </w:t>
            </w:r>
            <w:r w:rsidRPr="3996C7A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BSW </w:t>
            </w:r>
            <w:r w:rsidRPr="3996C7A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c</w:t>
            </w:r>
            <w:r w:rsidRPr="3996C7A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 xml:space="preserve">ollaborative approach in dealing with </w:t>
            </w:r>
            <w:r w:rsidRPr="3996C7A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th</w:t>
            </w:r>
            <w:r w:rsidRPr="3996C7A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is feedback</w:t>
            </w:r>
          </w:p>
          <w:p w14:paraId="0339AC06" w14:textId="0A38C50C" w:rsidR="00B60A00" w:rsidRPr="00CE588A" w:rsidRDefault="00AF7FE9" w:rsidP="00AF7FE9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eastAsiaTheme="minorEastAsia"/>
                <w:b/>
                <w:bCs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Including: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AWP, Oxford Health, CAMHS, third sector charities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involved with children, young people, adult mental therapies and local authorities.</w:t>
            </w:r>
            <w:r>
              <w:br/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</w:p>
          <w:p w14:paraId="68159228" w14:textId="7819FAFC" w:rsidR="00B60A00" w:rsidRPr="00CE588A" w:rsidRDefault="00AF7FE9" w:rsidP="00AF7FE9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lastRenderedPageBreak/>
              <w:t>Regular meetings to try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and come up with a new collaborative ask from the NHS to recommission the whole of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the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mental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health service.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Once in a generation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redesign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oppor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tunity,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it will be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a three-year programme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(started in 2020) and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hoping to see big changes moving forward.</w:t>
            </w:r>
            <w:r>
              <w:br/>
            </w:r>
          </w:p>
          <w:p w14:paraId="1FB5C15E" w14:textId="1C316440" w:rsidR="00B60A00" w:rsidRPr="00CE588A" w:rsidRDefault="00AF7FE9" w:rsidP="00AF7FE9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Meet twice a month to look at referrals, and audit every 3, 6, 12 months. Ask by NHS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England that by the end of year three, every referral in for mental health rehabilitation, back out into the community within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four weeks.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>
              <w:br/>
            </w:r>
          </w:p>
          <w:p w14:paraId="41C45C45" w14:textId="05E098DB" w:rsidR="00B60A00" w:rsidRPr="00CE588A" w:rsidRDefault="00AF7FE9" w:rsidP="00AF7FE9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b/>
                <w:bCs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Responsible for designing Serious Mental Illness Health Check, which is the only one in the country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; every GP in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BSW wants to be part of this programme, the uptakes have been outstanding. </w:t>
            </w:r>
            <w:r>
              <w:br/>
            </w:r>
          </w:p>
          <w:p w14:paraId="176BA6ED" w14:textId="578F7B52" w:rsidR="08CA79E9" w:rsidRDefault="00AF7FE9" w:rsidP="3996C7AB">
            <w:pPr>
              <w:spacing w:before="40" w:after="40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 xml:space="preserve">Comment from </w:t>
            </w:r>
            <w:r w:rsidRPr="3996C7AB">
              <w:rPr>
                <w:sz w:val="26"/>
                <w:szCs w:val="26"/>
              </w:rPr>
              <w:t xml:space="preserve">SJ: </w:t>
            </w:r>
            <w:r>
              <w:br/>
            </w:r>
            <w:r w:rsidRPr="3996C7AB">
              <w:rPr>
                <w:b/>
                <w:bCs/>
                <w:sz w:val="26"/>
                <w:szCs w:val="26"/>
              </w:rPr>
              <w:t xml:space="preserve">We have seen a big increase through Covid of the need for mental health support for young carers - many have taken on even more caring responsibilities over the past 18 months. </w:t>
            </w:r>
            <w:r>
              <w:br/>
            </w:r>
            <w:r>
              <w:br/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DSB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agreed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and that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the impact ha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s affected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young carers’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wellbeing,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their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appr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oa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ch to schooling,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and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to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wards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their friends.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DSB spoke about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how they thought as a surgery they were excellent in naming the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ir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young carers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, but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a carers’ pilot within their surgery highlight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ed many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other young carers that the surgery didn’t have on their list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. This was evidence that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the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re needs to be a lot more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joined-up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approach for carers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.</w:t>
            </w:r>
          </w:p>
          <w:p w14:paraId="6FD5AB69" w14:textId="6C6A6F4F" w:rsidR="08CA79E9" w:rsidRDefault="00AF7FE9" w:rsidP="3996C7AB">
            <w:pPr>
              <w:spacing w:before="40" w:after="40"/>
              <w:rPr>
                <w:rFonts w:ascii="Arial" w:eastAsia="Times New Roman" w:hAnsi="Arial" w:cs="Times New Roman"/>
                <w:sz w:val="26"/>
                <w:szCs w:val="26"/>
              </w:rPr>
            </w:pPr>
            <w:r>
              <w:br/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C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R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e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ST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 model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a demand and capacity tool</w:t>
            </w:r>
          </w:p>
          <w:p w14:paraId="70F54847" w14:textId="32B5EA0F" w:rsidR="55B6789B" w:rsidRDefault="00AF7FE9" w:rsidP="00AF7FE9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DSB explained that this helps to model and plan services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; providing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the method to say this is what we need funding for.</w:t>
            </w:r>
          </w:p>
          <w:p w14:paraId="161E487B" w14:textId="146208BE" w:rsidR="08CA79E9" w:rsidRDefault="00AF7FE9" w:rsidP="3996C7AB">
            <w:pPr>
              <w:spacing w:before="40" w:after="40"/>
              <w:rPr>
                <w:rFonts w:ascii="Arial" w:eastAsia="Times New Roman" w:hAnsi="Arial" w:cs="Times New Roman"/>
                <w:sz w:val="26"/>
                <w:szCs w:val="26"/>
              </w:rPr>
            </w:pPr>
          </w:p>
          <w:p w14:paraId="007C27E2" w14:textId="7BED96AC" w:rsidR="45C44D8C" w:rsidRDefault="00AF7FE9" w:rsidP="3996C7AB">
            <w:pPr>
              <w:spacing w:before="40" w:after="40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CAMHS recovery</w:t>
            </w:r>
          </w:p>
          <w:p w14:paraId="757639A4" w14:textId="27C27481" w:rsidR="7C4D9AA2" w:rsidRDefault="00AF7FE9" w:rsidP="00AF7FE9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16 to 25 pathway, an ask from NHS England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, with a focus on young people who are struggling with mental health and who are not transitioning well into adult care.</w:t>
            </w:r>
            <w:r>
              <w:br/>
            </w:r>
          </w:p>
          <w:p w14:paraId="66DEF15A" w14:textId="03E38E8F" w:rsidR="285748D5" w:rsidRDefault="00AF7FE9" w:rsidP="00AF7FE9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DSB will be chairing a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committee of about 32 people across BSW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, looking at how we can address and improve the transitions, and implement a be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tter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service.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</w:p>
          <w:p w14:paraId="6873D640" w14:textId="023273AC" w:rsidR="1ABAEB75" w:rsidRDefault="00AF7FE9" w:rsidP="3996C7AB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</w:pPr>
            <w:r>
              <w:br/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What 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are 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we 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doing together; what do we 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want our new vision to 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lastRenderedPageBreak/>
              <w:t>look like, asked of each CCG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?</w:t>
            </w:r>
          </w:p>
          <w:p w14:paraId="0D1CAB23" w14:textId="68C38ED5" w:rsidR="4666FCC1" w:rsidRDefault="00AF7FE9" w:rsidP="00AF7FE9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10 million pounds, over the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next three years to deliver our wish list:</w:t>
            </w:r>
          </w:p>
          <w:p w14:paraId="28372B99" w14:textId="4988B684" w:rsidR="343B9DD9" w:rsidRDefault="00AF7FE9" w:rsidP="00AF7FE9">
            <w:pPr>
              <w:pStyle w:val="ListParagraph"/>
              <w:numPr>
                <w:ilvl w:val="1"/>
                <w:numId w:val="3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Early and timely access to the right support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.</w:t>
            </w:r>
          </w:p>
          <w:p w14:paraId="4C4B14C9" w14:textId="5DC45D69" w:rsidR="19F4A6D6" w:rsidRDefault="00AF7FE9" w:rsidP="00AF7FE9">
            <w:pPr>
              <w:pStyle w:val="ListParagraph"/>
              <w:numPr>
                <w:ilvl w:val="1"/>
                <w:numId w:val="3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Open access for the individual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.</w:t>
            </w:r>
          </w:p>
          <w:p w14:paraId="6861622D" w14:textId="43CC244F" w:rsidR="36D10914" w:rsidRDefault="00AF7FE9" w:rsidP="00AF7FE9">
            <w:pPr>
              <w:pStyle w:val="ListParagraph"/>
              <w:numPr>
                <w:ilvl w:val="1"/>
                <w:numId w:val="3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Consistent and inclusive across the boundaries of BSW.</w:t>
            </w:r>
          </w:p>
          <w:p w14:paraId="5FDC0CB6" w14:textId="5AB8EC93" w:rsidR="0E190F56" w:rsidRDefault="00AF7FE9" w:rsidP="00AF7FE9">
            <w:pPr>
              <w:pStyle w:val="ListParagraph"/>
              <w:numPr>
                <w:ilvl w:val="1"/>
                <w:numId w:val="3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No wrong front doors</w:t>
            </w:r>
          </w:p>
          <w:p w14:paraId="0B88B024" w14:textId="1A42F4AC" w:rsidR="0E190F56" w:rsidRDefault="00AF7FE9" w:rsidP="00AF7FE9">
            <w:pPr>
              <w:pStyle w:val="ListParagraph"/>
              <w:numPr>
                <w:ilvl w:val="1"/>
                <w:numId w:val="3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Assessment to intervention and support very quickly.</w:t>
            </w:r>
          </w:p>
          <w:p w14:paraId="21697013" w14:textId="02AB4651" w:rsidR="0E190F56" w:rsidRDefault="00AF7FE9" w:rsidP="00AF7FE9">
            <w:pPr>
              <w:pStyle w:val="ListParagraph"/>
              <w:numPr>
                <w:ilvl w:val="1"/>
                <w:numId w:val="3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Strength based support; great wealth of development in individuals.</w:t>
            </w:r>
          </w:p>
          <w:p w14:paraId="64AC9711" w14:textId="1A11EFDE" w:rsidR="0E190F56" w:rsidRDefault="00AF7FE9" w:rsidP="00AF7FE9">
            <w:pPr>
              <w:pStyle w:val="ListParagraph"/>
              <w:numPr>
                <w:ilvl w:val="1"/>
                <w:numId w:val="3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Community resilience</w:t>
            </w:r>
          </w:p>
          <w:p w14:paraId="04BF84C9" w14:textId="32944CE7" w:rsidR="0E190F56" w:rsidRDefault="00AF7FE9" w:rsidP="00AF7FE9">
            <w:pPr>
              <w:pStyle w:val="ListParagraph"/>
              <w:numPr>
                <w:ilvl w:val="1"/>
                <w:numId w:val="3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No silo working</w:t>
            </w:r>
          </w:p>
          <w:p w14:paraId="54B5958A" w14:textId="43220DDA" w:rsidR="0E190F56" w:rsidRDefault="00AF7FE9" w:rsidP="00AF7FE9">
            <w:pPr>
              <w:pStyle w:val="ListParagraph"/>
              <w:numPr>
                <w:ilvl w:val="1"/>
                <w:numId w:val="3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Outcome focussed</w:t>
            </w:r>
          </w:p>
          <w:p w14:paraId="6422D514" w14:textId="7F15BABD" w:rsidR="08CA79E9" w:rsidRDefault="00AF7FE9" w:rsidP="3996C7AB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</w:pPr>
            <w:r>
              <w:br/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SMI 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Annual Health Checks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 initiative with NHS England</w:t>
            </w:r>
          </w:p>
          <w:p w14:paraId="108D9BE5" w14:textId="2F2C39F2" w:rsidR="5889F43C" w:rsidRDefault="00AF7FE9" w:rsidP="3996C7A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For people to review their health and wellbeing. Address any decline with an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aftercare programme of support. Usually carried out by GPs or a practice nurse: challenge in the past 12 months.</w:t>
            </w:r>
            <w:r>
              <w:br/>
            </w:r>
          </w:p>
          <w:p w14:paraId="30A59E85" w14:textId="09B428FF" w:rsidR="5889F43C" w:rsidRDefault="00AF7FE9" w:rsidP="3996C7A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Uptake so far: (March 2021) 428 individuals have had their checks. Picked up some really serious issues; life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-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saving in some cases. Significan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t changes have been made. Looking from a person perspective. Will share report from Bristol University.  </w:t>
            </w:r>
          </w:p>
          <w:p w14:paraId="580FD407" w14:textId="5FA7218F" w:rsidR="5889F43C" w:rsidRDefault="00AF7FE9" w:rsidP="3996C7AB">
            <w:pPr>
              <w:spacing w:before="40" w:after="40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</w:p>
          <w:p w14:paraId="5DDEB1D2" w14:textId="54AE90F4" w:rsidR="5889F43C" w:rsidRDefault="00AF7FE9" w:rsidP="3996C7AB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BSW 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Learning Disability 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(LD) 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and Autism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; local context</w:t>
            </w:r>
            <w:r w:rsidRPr="3996C7AB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4927135" w14:textId="633011BD" w:rsidR="5889F43C" w:rsidRDefault="00AF7FE9" w:rsidP="3996C7A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4,713 on the LD register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 and 1431 on the autism register. </w:t>
            </w:r>
            <w:r>
              <w:br/>
            </w:r>
          </w:p>
          <w:p w14:paraId="05D42A95" w14:textId="51FCCD0D" w:rsidR="5889F43C" w:rsidRDefault="00AF7FE9" w:rsidP="3996C7A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Interested in people who are not on the register and what support they need.  </w:t>
            </w:r>
            <w:r>
              <w:br/>
            </w:r>
          </w:p>
          <w:p w14:paraId="4EA3B69A" w14:textId="5C4554CF" w:rsidR="5889F43C" w:rsidRDefault="00AF7FE9" w:rsidP="3996C7A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Plan is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to have a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LDA Roadmap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, with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significant funding that will mean we can make changes. </w:t>
            </w:r>
            <w:r>
              <w:br/>
            </w:r>
          </w:p>
          <w:p w14:paraId="20DCAD35" w14:textId="780C2D72" w:rsidR="5889F43C" w:rsidRDefault="00AF7FE9" w:rsidP="3996C7AB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Learning Disabilities and Autism Roadmap</w:t>
            </w:r>
          </w:p>
          <w:p w14:paraId="0A6E27AF" w14:textId="437C096E" w:rsidR="5889F43C" w:rsidRDefault="00AF7FE9" w:rsidP="3996C7A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 xml:space="preserve">Moving people into the community and </w:t>
            </w: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reducing reliance on inpatient care.</w:t>
            </w:r>
          </w:p>
          <w:p w14:paraId="351C144C" w14:textId="42EE2F65" w:rsidR="5889F43C" w:rsidRDefault="00AF7FE9" w:rsidP="3996C7A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Better start in life for Children and Young People.</w:t>
            </w:r>
          </w:p>
          <w:p w14:paraId="18180FE0" w14:textId="0969ECFD" w:rsidR="5889F43C" w:rsidRDefault="00AF7FE9" w:rsidP="3996C7A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Autism Diagnosis for Children and Young People and Adults.</w:t>
            </w:r>
          </w:p>
          <w:p w14:paraId="0BD7AD9B" w14:textId="582FE032" w:rsidR="5889F43C" w:rsidRDefault="00AF7FE9" w:rsidP="3996C7A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Workforce &amp; Employment</w:t>
            </w:r>
          </w:p>
          <w:p w14:paraId="0917BCDF" w14:textId="2CA0FB1B" w:rsidR="5889F43C" w:rsidRDefault="00AF7FE9" w:rsidP="3996C7A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Improving Health Inequalities</w:t>
            </w:r>
          </w:p>
          <w:p w14:paraId="43E99B69" w14:textId="306F86F7" w:rsidR="5889F43C" w:rsidRDefault="00AF7FE9" w:rsidP="3996C7A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Theme="minorEastAsia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t>Improving Quality of Services</w:t>
            </w:r>
          </w:p>
          <w:p w14:paraId="7D43FCC5" w14:textId="5FC43904" w:rsidR="5889F43C" w:rsidRDefault="00AF7FE9" w:rsidP="3996C7AB">
            <w:pPr>
              <w:spacing w:before="40" w:after="40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3996C7AB">
              <w:rPr>
                <w:rFonts w:ascii="Arial" w:eastAsia="Times New Roman" w:hAnsi="Arial" w:cs="Times New Roman"/>
                <w:sz w:val="26"/>
                <w:szCs w:val="26"/>
              </w:rPr>
              <w:lastRenderedPageBreak/>
              <w:t xml:space="preserve"> </w:t>
            </w:r>
          </w:p>
          <w:p w14:paraId="65736E96" w14:textId="23D559F3" w:rsidR="00B60A00" w:rsidRPr="00CE588A" w:rsidRDefault="00AF7FE9" w:rsidP="3996C7AB">
            <w:pPr>
              <w:spacing w:before="40" w:after="160"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3996C7A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Questions</w:t>
            </w:r>
            <w:r w:rsidRPr="3996C7A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&amp; C</w:t>
            </w:r>
            <w:r w:rsidRPr="3996C7A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omment</w:t>
            </w:r>
            <w:r w:rsidRPr="3996C7A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 </w:t>
            </w:r>
            <w:r w:rsidRPr="3996C7A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for DSB and DGR</w:t>
            </w:r>
          </w:p>
          <w:p w14:paraId="64A450D9" w14:textId="7109125A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sz w:val="26"/>
                <w:szCs w:val="26"/>
              </w:rPr>
              <w:t>RW</w:t>
            </w:r>
            <w:r w:rsidRPr="3996C7AB"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 w:rsidRPr="3996C7AB">
              <w:rPr>
                <w:rFonts w:ascii="Arial" w:eastAsia="Arial" w:hAnsi="Arial" w:cs="Arial"/>
                <w:b/>
                <w:bCs/>
                <w:sz w:val="26"/>
                <w:szCs w:val="26"/>
              </w:rPr>
              <w:t>T</w:t>
            </w:r>
            <w:r w:rsidRPr="3996C7AB">
              <w:rPr>
                <w:rFonts w:ascii="Arial" w:eastAsia="Arial" w:hAnsi="Arial" w:cs="Arial"/>
                <w:b/>
                <w:bCs/>
                <w:sz w:val="26"/>
                <w:szCs w:val="26"/>
              </w:rPr>
              <w:t>hanked the speakers for the presentation but asked if it w</w:t>
            </w:r>
            <w:r w:rsidRPr="3996C7AB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ould it have been nicer to have this presentation upfront </w:t>
            </w:r>
            <w:r w:rsidRPr="3996C7AB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to digest before this meeting? </w:t>
            </w:r>
            <w:r>
              <w:br/>
            </w:r>
            <w:r w:rsidRPr="3996C7AB">
              <w:rPr>
                <w:rFonts w:ascii="Arial" w:eastAsia="Arial" w:hAnsi="Arial" w:cs="Arial"/>
                <w:sz w:val="26"/>
                <w:szCs w:val="26"/>
              </w:rPr>
              <w:t xml:space="preserve">RW added that </w:t>
            </w:r>
            <w:r w:rsidRPr="3996C7AB">
              <w:rPr>
                <w:rFonts w:ascii="Arial" w:eastAsia="Arial" w:hAnsi="Arial" w:cs="Arial"/>
                <w:sz w:val="26"/>
                <w:szCs w:val="26"/>
              </w:rPr>
              <w:t>a list of acronyms</w:t>
            </w:r>
            <w:r w:rsidRPr="3996C7AB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sz w:val="26"/>
                <w:szCs w:val="26"/>
              </w:rPr>
              <w:t>on the first</w:t>
            </w:r>
            <w:r w:rsidRPr="3996C7AB">
              <w:rPr>
                <w:rFonts w:ascii="Arial" w:eastAsia="Arial" w:hAnsi="Arial" w:cs="Arial"/>
                <w:sz w:val="26"/>
                <w:szCs w:val="26"/>
              </w:rPr>
              <w:t xml:space="preserve"> slide</w:t>
            </w:r>
            <w:r w:rsidRPr="3996C7AB">
              <w:rPr>
                <w:rFonts w:ascii="Arial" w:eastAsia="Arial" w:hAnsi="Arial" w:cs="Arial"/>
                <w:sz w:val="26"/>
                <w:szCs w:val="26"/>
              </w:rPr>
              <w:t xml:space="preserve"> would also be beneficial</w:t>
            </w:r>
            <w:r w:rsidRPr="3996C7AB">
              <w:rPr>
                <w:rFonts w:ascii="Arial" w:eastAsia="Arial" w:hAnsi="Arial" w:cs="Arial"/>
                <w:sz w:val="26"/>
                <w:szCs w:val="26"/>
              </w:rPr>
              <w:t xml:space="preserve">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DGR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apologised that the presentation was not available to forum members prior to this meeting, and DGR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will amend the slides before sending out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DGR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acknowledged the use of a lot of acronyms within the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slides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add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ing that they are trying to improve the way in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which they talk about their services.</w:t>
            </w:r>
            <w:r>
              <w:br/>
            </w:r>
          </w:p>
          <w:p w14:paraId="1A4EE7F4" w14:textId="1F642B9D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RW referenced the shortage of beds spoken about in the presentation and wanted to know how many and for how long this has been going on?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DGR: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In terms of beds, the p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ressures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were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due to closures of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 number of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beds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to allow for social distancing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on the wards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ensuring suitable spac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 between patients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This happened across the country and also allowed for spaces for staff to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remov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or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change into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the required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personal protective equipment (P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)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</w:t>
            </w:r>
            <w:r>
              <w:br/>
            </w:r>
          </w:p>
          <w:p w14:paraId="72E104FF" w14:textId="6B911030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: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R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eferred to the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NHS 111 service mentioned in the presentation</w:t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RW stated that there are limitations on this, giving the example of his GP surgery that wasn’t taking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any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calls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so RW had to ring the 111 service, which he said was very good but frustrating as 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NHS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111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clinician had to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then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refer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back to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the GP who wasn’t taking any calls. RW said that this situation might affect people with mental health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problems. </w:t>
            </w:r>
            <w:r>
              <w:br/>
            </w:r>
          </w:p>
          <w:p w14:paraId="0D2E9195" w14:textId="1E282666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: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S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tated that the slides on what people have told us is absolutely brilliant;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it’s the first time he had seen those admissions in writing an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d reflecting the needs of where we need to go.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 </w:t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  </w:t>
            </w:r>
          </w:p>
          <w:p w14:paraId="31A765A2" w14:textId="203BD1A2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: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A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sked a further question with the focus on how c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harities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(mentioned in the presentation)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are funded?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 responded saying that they have contracts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with the providers with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allocated funding through BSW CCG.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The charities are not relying on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lastRenderedPageBreak/>
              <w:t>charitable donations, we are commissioning them.</w:t>
            </w:r>
            <w:r>
              <w:br/>
            </w:r>
          </w:p>
          <w:p w14:paraId="6209D212" w14:textId="15F9F3CA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As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ked who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are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the seven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PCNs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mentioned by DSB and DGR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?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replied with: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Heart of Bath, Trowbridge,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Bath Independent,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Calne PCN, Salisbury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; in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Swindon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there is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Brunel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Wy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ver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Surgery staff will work closely with us. Looked at populations and willingness and their available time. Diversity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of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urban and rural.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Increase by year two and three. </w:t>
            </w:r>
            <w:r>
              <w:br/>
            </w:r>
          </w:p>
          <w:p w14:paraId="6A761C70" w14:textId="19063E4D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: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‘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Meet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with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GP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’ is quite a statement;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how do you get pass the triage and receptionist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?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SB: In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the surgery they are piloting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they triage (50 people) in the morning.   Well over 100 want access to a GP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unbelievable numbers.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Concern that RW’s comment about GPs not taking calls. RW advised that this was after a bank holida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y;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DSB said this maybe could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then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not b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 a generalisation.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DSB also said that she h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ope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appreciate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that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they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have explained the acronyms as we have used them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during the presentation. </w:t>
            </w:r>
            <w:r>
              <w:br/>
            </w:r>
          </w:p>
          <w:p w14:paraId="465562E7" w14:textId="68FB0C33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MP: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Group of people that we haven’t discussed yet; people released from prison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, how are you dealing with these, they are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trapped in a cycle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?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SB: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Get them 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egistered back with a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GP surgery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ne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 to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here they will be living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: I bring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individuals i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n within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two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weeks after being released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 including housing and mental health concerns, feeding these in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to our brilliant social prescriber.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Looking at any diagnosis or medication they have received while in prison;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with 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majority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of individuals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rehabilitate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d quite quickly.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DGR: Wider CCG approach, even before Covid, complex situation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pathw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ay as individuals move around to different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prisons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Sometimes not known until the day before release where they will be going. Safety nets are in place and also work with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police commissioners and mental health police liaison officers.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How we can support people, educate them and address their emotio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nal wellbeing issues that might be p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laying into their offensive behaviours.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br/>
            </w:r>
          </w:p>
          <w:p w14:paraId="5E0DCA12" w14:textId="49E94E7A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: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Houses for people with learning disabilities and mental health; do we have a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ny of the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se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houses in Swindon and d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o you do assess before people go to the houses?</w:t>
            </w:r>
            <w:r>
              <w:br/>
            </w:r>
            <w:r>
              <w:lastRenderedPageBreak/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confirmed that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there is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crisis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accommodation in Swindon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provided by Rethink (4 to 5 beds)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and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they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support people with mental health needs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autism,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learning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disabilities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There is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always a risk assessment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carried out.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br/>
            </w:r>
          </w:p>
          <w:p w14:paraId="21B9C5B8" w14:textId="6972F0C9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Other people not mentioned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is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people on drugs: anything done for these people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, big impact on their mental health?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: 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ru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 and alcohol support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commissioning of services is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complicated, drug and alcohol support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is commissioned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by Public Health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such a complex interplay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 We m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ake sure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that people don’t feel these complications, making sure that services work together using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integrated pathways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 joint working model between mental health and the specialist drug and alcohol services.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DSB ad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ed that there is a big problem across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the country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that if you have a drug and alcohol abuse problem you will not be taken on by the secondary care service providers until you get over th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is problem. Some people may take drugs and alcohol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because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of undiagnosed ADHD or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insomnia, stress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and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anxiety.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he new service that we are putting together will not be a threshold for treatment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so rehabilitation for both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drug and alcohol dependency and mental health will happen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alongside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each other.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Currently this service does not exist across the country.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br/>
            </w:r>
          </w:p>
          <w:p w14:paraId="11C0F8C7" w14:textId="026F69C9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NR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said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that she is looking forward to having face to face consultations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again at her surgery,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having experienced phone and video consultations during the pandemic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 H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ighlighting that the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re has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been mid-diagnosis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in her family, reflecting that these methods of consultation are not appropriate in every situation. 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br/>
            </w:r>
          </w:p>
          <w:p w14:paraId="3814615E" w14:textId="2F6E49CC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made a further comment regarding her work as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Mental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Health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Act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anager with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Avon and Wiltshire Mental Health Partnership NHS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Trust (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AWP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)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; stating that 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hen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people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are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coming out of prison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suffering with their mental health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there are quite a lot of services that get involved in their care, care community treatment and be monitored and helped. </w:t>
            </w:r>
            <w:r>
              <w:br/>
            </w:r>
          </w:p>
          <w:p w14:paraId="3EFB9AE5" w14:textId="305BA309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B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Thanked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DSB and DGR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for a v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ery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good presentation.</w:t>
            </w:r>
            <w:r>
              <w:br/>
            </w:r>
          </w:p>
          <w:p w14:paraId="1DC2E176" w14:textId="5F2CAAC3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SJ: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Just picking up on one of RW’s points regarding a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ccess to GP appointments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 one of the PCNs that you mentioned is part of the pilot project. We know there are problems in accessing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appointments because they are using an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online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questionnaire as a triage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so even if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lastRenderedPageBreak/>
              <w:t xml:space="preserve">you phone the surgery directly (may have waited a long time to get through) you are then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directed to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online questionnaire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which is the symptom checker. At the ned of 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questionnaire,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you might be told that you don’t need an appointment, so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unless you are prepared to keep going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fight your corner or have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somebody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advocate for you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potentially you might not get an appointment even though you might need one.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Appreciate this is the start of the project,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definitely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not all in the excellent state that your surgery is in regarding triage and answering the phone calls, think this is worth saying.</w:t>
            </w:r>
            <w:r>
              <w:br/>
            </w:r>
          </w:p>
          <w:p w14:paraId="4615B9C4" w14:textId="01EA2F82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SJ: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Huge pressures o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n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staff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, dealing with this influx of mental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health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; what measures are in place to support the staff across your systems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delivering this service?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: Service transformation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piece that I didn’t mention before, national requirement is a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Staff Wellb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ing Hub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providing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therapeutic support and assessment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for NHS staff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across BSW,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but we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have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also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included key workers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including care home staff and third sector.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Mobilising at the moment, starting off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with telephone support and triage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an interactive resource web library and it will develop into a therapeutic service.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we know this is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much needed.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In the interim we have set up 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argeted support for providers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parachuted in support where needed.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DGR also spoke about 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etention of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staff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 mentioned IAPT, also particular initiatives around staff wellbeing; recruiting more staff to ensure that staff already in place have capa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city to do reflective practice and to engage in their own development as therapists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SB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said that issues relating to patient participation with GP surgeries is not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something to do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with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CCG mental health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across BSW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suggested taking this matter directly to your GPs. Adding that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COVID has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dramatically upset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how GPs want to access their patients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; giving the example of DSB’s own surgery that has grown five times bigger since the pandemic began.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Today’s meeting is about how we manage mental health moving forward,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which DSB says GPs are doing an absolutely outst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anding effort.</w:t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SJ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has no doubt that GPs are doing an outstanding effort but that she is hearing c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arer feedback that they can’t access GP appointments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it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lastRenderedPageBreak/>
              <w:t>is mental health related.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Swindon Carers Centre are able to take this up with GP surgeries directly to advocate on behalf of carers. Adding that someone who is need of dire need of ment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al health support but perhaps doesn’t have advocate support or online access and digital knowled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ge, then th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at potentially could be a problem with equity of access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to care. Hopefully this situation will improve as the rollout happens and recognises that these things take time and completely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notwithstanding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the pressures on services which SJ understand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feels for every member of staff who is working so hard day in day out. There will be issues and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these need highlighting.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SB: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Advised that this is across the board, and 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ot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going to be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an overnight fix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has happened in the midst of Covid so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putting 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focus where it needs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to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be had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try to tackle the issues. DSB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ould question any surgery that is not allowing access for those patients with mental health; either issues with the access 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ystem or with the triage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; doesn’t know of a surgery that would say come back in a few days.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JK: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Good points made from each person there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 thank you.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JK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now know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that there is a problem with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some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GPs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 Swindon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and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will pick this up and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ask these questions in another place.</w:t>
            </w:r>
            <w:r>
              <w:br/>
            </w:r>
          </w:p>
          <w:p w14:paraId="33749905" w14:textId="20987334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SB: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What assistance are you giving to families of people with mental health issues; partner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/work could be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impacted for example and employer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s may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take a dim view of it?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Responded by saying in terms of support for families and partners dependent on the individual’s age and situation.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CAMHS perspective; DGR joined participation engagement group with y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oung people,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to discuss how to further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improve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 recently commissioned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crisis service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The young people also asked for more familial support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at the same time that they are receiving their own support. Requests were also made for family therapies.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DGR then spoke about the perinatal team;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highlighting the enormous amount of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require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ment to support partners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as often it is the partner who comes forward.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Looking at how the partners supports the individual which can create enormous pressures on them and if not supported, things may fall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apart.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We are therefore putting m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ore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resource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into 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perinatal team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and service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DGR referred to secondary mental health teams and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the 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riangle of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lastRenderedPageBreak/>
              <w:t>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upport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which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recognise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all the individuals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that are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volved in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patient’s care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Important to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be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mind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ful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that in adults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if they have capacity, there needs to be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consent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;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it is their decision who is involved in their care. </w:t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DGR spoke about other sources of support and information that are available giving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the example of 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hird sector providers have support lines into twilight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hours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.</w:t>
            </w:r>
            <w:r>
              <w:br/>
            </w:r>
          </w:p>
          <w:p w14:paraId="663F5519" w14:textId="75FAD7FC" w:rsidR="00B60A00" w:rsidRPr="00CE588A" w:rsidRDefault="00AF7FE9" w:rsidP="00AF7FE9">
            <w:pPr>
              <w:pStyle w:val="ListParagraph"/>
              <w:numPr>
                <w:ilvl w:val="0"/>
                <w:numId w:val="12"/>
              </w:numPr>
              <w:spacing w:before="40" w:after="160" w:line="259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NT: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Self-harm due to loneliness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is rife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in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the age group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65+,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and has been made worse by the pandemic. A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dmission cases are rising in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some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hospitals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;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who can the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se individuals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turn to if they can’t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see 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their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GP</w:t>
            </w:r>
            <w:r w:rsidRPr="3996C7AB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?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Advised that if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someone enters an acute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hospital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which is the worse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-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case scenario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if they have harmed themselves or something awful has happened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, 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here will be a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Mental Health Liaison Team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The team is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led by a psychiatrist,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and includes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ment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al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health nurses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responsible for support people both in A&amp;E and patients admitted to hospital.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Their responsibilit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es include patient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assess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ment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and also looking at their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longer-term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needs,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in terms of connecting back into or referring into 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community teams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so 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support is ready when discharged from hospital.</w:t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One of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our main focus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of the Community Services Transformation,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is on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how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can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we get support in earlier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so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don’t get to the point of escalating.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Important that the individual is supported with the interventions that they want to receive.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Also, Places of Calm,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community spaces to receive informed support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; a listening ear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to build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 co-ordinate a plan,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delivered by the third sector. C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risis accommodation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is also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available when individuals get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to a higher level of need.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DSB added that MDT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(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multi-disciplinary team meetings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)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take place bi-weekly, that brings together GPs, mental health workers, community matrons and district nurses.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Joined up work within these meetings, discussing different cases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; mention to Chris Wall, CIT worker in BaNES PCN, grateful for his work with these teams.</w:t>
            </w:r>
            <w:r>
              <w:br/>
            </w:r>
          </w:p>
        </w:tc>
      </w:tr>
      <w:tr w:rsidR="000843CC" w:rsidRPr="00CE588A" w14:paraId="1300DF1B" w14:textId="77777777" w:rsidTr="3996C7AB">
        <w:tc>
          <w:tcPr>
            <w:tcW w:w="675" w:type="dxa"/>
          </w:tcPr>
          <w:p w14:paraId="5477D815" w14:textId="219CA3F1" w:rsidR="000843CC" w:rsidRPr="00CE588A" w:rsidRDefault="00AF7FE9" w:rsidP="00AF7FE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9531" w:type="dxa"/>
          </w:tcPr>
          <w:p w14:paraId="14A98016" w14:textId="34467981" w:rsidR="000843CC" w:rsidRPr="00CE588A" w:rsidRDefault="00AF7FE9" w:rsidP="3996C7AB">
            <w:pPr>
              <w:spacing w:before="40" w:after="40"/>
              <w:rPr>
                <w:rFonts w:cstheme="minorHAnsi"/>
                <w:b/>
                <w:bCs/>
                <w:sz w:val="26"/>
                <w:szCs w:val="26"/>
              </w:rPr>
            </w:pPr>
            <w:r w:rsidRPr="3996C7AB">
              <w:rPr>
                <w:b/>
                <w:bCs/>
                <w:sz w:val="26"/>
                <w:szCs w:val="26"/>
              </w:rPr>
              <w:t xml:space="preserve">Future meetings </w:t>
            </w:r>
            <w:r w:rsidRPr="3996C7AB">
              <w:rPr>
                <w:sz w:val="26"/>
                <w:szCs w:val="26"/>
              </w:rPr>
              <w:t xml:space="preserve">(JK) </w:t>
            </w:r>
          </w:p>
        </w:tc>
      </w:tr>
      <w:tr w:rsidR="007802EF" w:rsidRPr="00CE588A" w14:paraId="3A373E5B" w14:textId="77777777" w:rsidTr="3996C7AB">
        <w:tc>
          <w:tcPr>
            <w:tcW w:w="675" w:type="dxa"/>
          </w:tcPr>
          <w:p w14:paraId="0CDD4558" w14:textId="77777777" w:rsidR="007802EF" w:rsidRPr="00CE588A" w:rsidRDefault="00AF7FE9" w:rsidP="08CA79E9">
            <w:pPr>
              <w:pStyle w:val="ListParagraph"/>
              <w:spacing w:before="40" w:after="40"/>
              <w:ind w:left="360"/>
            </w:pPr>
          </w:p>
        </w:tc>
        <w:tc>
          <w:tcPr>
            <w:tcW w:w="9531" w:type="dxa"/>
          </w:tcPr>
          <w:p w14:paraId="1FB9E948" w14:textId="560BBBC7" w:rsidR="00B60A00" w:rsidRPr="00CE588A" w:rsidRDefault="00AF7FE9" w:rsidP="00AF7FE9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RA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propose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that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the Swindon PPE Forum meeting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happen bi-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month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ly for 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time being as the engagement team have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reduc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ed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lastRenderedPageBreak/>
              <w:t>capacity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with EF leaving in July 2021.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Also want to review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what 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structure of engagement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will look like moving forward into 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development of the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integrated care system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(ICS)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We want to p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ut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all of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this forward to people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not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to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impose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but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this is our current position.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JK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asked if there were a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ny objections if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the regularity of these meetings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were adjusted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for the next few months, while RA recruits a new Public Engagement Insight Manager?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JB had no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 objections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, and said let’s carry on with the meetings. </w:t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No other objections were put forward during the meeting. </w:t>
            </w:r>
            <w:r>
              <w:br/>
            </w:r>
            <w:r>
              <w:br/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 xml:space="preserve">RA advised that there will be a meeting in </w:t>
            </w:r>
            <w:r w:rsidRPr="3996C7AB"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  <w:t>July and then the next one will be in September 2021.</w:t>
            </w:r>
            <w:r>
              <w:br/>
            </w:r>
          </w:p>
        </w:tc>
      </w:tr>
      <w:tr w:rsidR="052C1789" w:rsidRPr="00CE588A" w14:paraId="472A6798" w14:textId="77777777" w:rsidTr="3996C7AB">
        <w:tc>
          <w:tcPr>
            <w:tcW w:w="675" w:type="dxa"/>
          </w:tcPr>
          <w:p w14:paraId="0ABCDFAA" w14:textId="3B5BD8F6" w:rsidR="052C1789" w:rsidRPr="00CE588A" w:rsidRDefault="00AF7FE9" w:rsidP="08CA79E9">
            <w:pPr>
              <w:pStyle w:val="ListParagraph"/>
              <w:ind w:left="0"/>
              <w:rPr>
                <w:b/>
                <w:bCs/>
              </w:rPr>
            </w:pPr>
            <w:r w:rsidRPr="08CA79E9">
              <w:rPr>
                <w:b/>
                <w:bCs/>
              </w:rPr>
              <w:lastRenderedPageBreak/>
              <w:t>4</w:t>
            </w:r>
            <w:r w:rsidRPr="08CA79E9">
              <w:rPr>
                <w:b/>
                <w:bCs/>
              </w:rPr>
              <w:t>.</w:t>
            </w:r>
          </w:p>
        </w:tc>
        <w:tc>
          <w:tcPr>
            <w:tcW w:w="9531" w:type="dxa"/>
          </w:tcPr>
          <w:p w14:paraId="00170110" w14:textId="663C09D7" w:rsidR="052C1789" w:rsidRPr="00CE588A" w:rsidRDefault="00AF7FE9" w:rsidP="3996C7AB">
            <w:pPr>
              <w:spacing w:before="40" w:after="40"/>
              <w:rPr>
                <w:sz w:val="26"/>
                <w:szCs w:val="26"/>
              </w:rPr>
            </w:pPr>
            <w:r w:rsidRPr="3996C7AB">
              <w:rPr>
                <w:b/>
                <w:bCs/>
                <w:sz w:val="26"/>
                <w:szCs w:val="26"/>
              </w:rPr>
              <w:t>Any other business</w:t>
            </w:r>
            <w:r w:rsidRPr="3996C7AB">
              <w:rPr>
                <w:b/>
                <w:bCs/>
                <w:sz w:val="26"/>
                <w:szCs w:val="26"/>
              </w:rPr>
              <w:t xml:space="preserve"> </w:t>
            </w:r>
            <w:r w:rsidRPr="3996C7AB">
              <w:rPr>
                <w:sz w:val="26"/>
                <w:szCs w:val="26"/>
              </w:rPr>
              <w:t>(JK)</w:t>
            </w:r>
          </w:p>
        </w:tc>
      </w:tr>
      <w:tr w:rsidR="3833FD06" w:rsidRPr="00CE588A" w14:paraId="03F394EF" w14:textId="77777777" w:rsidTr="3996C7AB">
        <w:tc>
          <w:tcPr>
            <w:tcW w:w="675" w:type="dxa"/>
          </w:tcPr>
          <w:p w14:paraId="4A6B78DE" w14:textId="330121B8" w:rsidR="3833FD06" w:rsidRPr="00CE588A" w:rsidRDefault="00AF7FE9" w:rsidP="08CA79E9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9531" w:type="dxa"/>
          </w:tcPr>
          <w:p w14:paraId="0BA30303" w14:textId="342E5611" w:rsidR="004D66CE" w:rsidRPr="00CE588A" w:rsidRDefault="00AF7FE9" w:rsidP="3996C7AB">
            <w:pPr>
              <w:rPr>
                <w:sz w:val="26"/>
                <w:szCs w:val="26"/>
              </w:rPr>
            </w:pPr>
            <w:r>
              <w:br/>
            </w:r>
            <w:r w:rsidRPr="3996C7AB">
              <w:rPr>
                <w:sz w:val="26"/>
                <w:szCs w:val="26"/>
              </w:rPr>
              <w:t xml:space="preserve">JK thanked EF, as this was her last Swindon PPE Forum meeting. </w:t>
            </w:r>
            <w:r>
              <w:br/>
            </w:r>
          </w:p>
        </w:tc>
      </w:tr>
      <w:tr w:rsidR="000843CC" w:rsidRPr="00CE588A" w14:paraId="115AA721" w14:textId="77777777" w:rsidTr="3996C7AB">
        <w:tc>
          <w:tcPr>
            <w:tcW w:w="675" w:type="dxa"/>
          </w:tcPr>
          <w:p w14:paraId="237BBD57" w14:textId="75DDDE32" w:rsidR="000843CC" w:rsidRPr="00CE588A" w:rsidRDefault="00AF7FE9" w:rsidP="08CA79E9">
            <w:pPr>
              <w:spacing w:before="40" w:after="40"/>
              <w:rPr>
                <w:rFonts w:cstheme="minorHAnsi"/>
                <w:b/>
                <w:bCs/>
              </w:rPr>
            </w:pPr>
            <w:r w:rsidRPr="08CA79E9">
              <w:rPr>
                <w:b/>
                <w:bCs/>
              </w:rPr>
              <w:t>5</w:t>
            </w:r>
            <w:r w:rsidRPr="08CA79E9">
              <w:rPr>
                <w:b/>
                <w:bCs/>
              </w:rPr>
              <w:t>.</w:t>
            </w:r>
          </w:p>
        </w:tc>
        <w:tc>
          <w:tcPr>
            <w:tcW w:w="9531" w:type="dxa"/>
          </w:tcPr>
          <w:p w14:paraId="5D1B84BA" w14:textId="239E31A7" w:rsidR="00417CA8" w:rsidRPr="00CE588A" w:rsidRDefault="00AF7FE9" w:rsidP="3996C7AB">
            <w:pPr>
              <w:spacing w:before="40" w:after="40"/>
              <w:rPr>
                <w:sz w:val="26"/>
                <w:szCs w:val="26"/>
                <w:lang w:eastAsia="en-GB"/>
              </w:rPr>
            </w:pPr>
            <w:r w:rsidRPr="3996C7AB">
              <w:rPr>
                <w:b/>
                <w:bCs/>
                <w:sz w:val="26"/>
                <w:szCs w:val="26"/>
              </w:rPr>
              <w:t xml:space="preserve">Closing remarks </w:t>
            </w:r>
            <w:r w:rsidRPr="3996C7AB">
              <w:rPr>
                <w:b/>
                <w:bCs/>
                <w:sz w:val="26"/>
                <w:szCs w:val="26"/>
              </w:rPr>
              <w:t>a</w:t>
            </w:r>
            <w:r w:rsidRPr="3996C7AB">
              <w:rPr>
                <w:b/>
                <w:bCs/>
                <w:sz w:val="26"/>
                <w:szCs w:val="26"/>
              </w:rPr>
              <w:t xml:space="preserve">nd </w:t>
            </w:r>
            <w:r w:rsidRPr="3996C7AB">
              <w:rPr>
                <w:b/>
                <w:bCs/>
                <w:sz w:val="26"/>
                <w:szCs w:val="26"/>
              </w:rPr>
              <w:t>d</w:t>
            </w:r>
            <w:r w:rsidRPr="3996C7AB">
              <w:rPr>
                <w:b/>
                <w:bCs/>
                <w:sz w:val="26"/>
                <w:szCs w:val="26"/>
              </w:rPr>
              <w:t xml:space="preserve">ate of next meeting </w:t>
            </w:r>
            <w:r w:rsidRPr="3996C7AB">
              <w:rPr>
                <w:sz w:val="26"/>
                <w:szCs w:val="26"/>
              </w:rPr>
              <w:t>(</w:t>
            </w:r>
            <w:r w:rsidRPr="3996C7AB">
              <w:rPr>
                <w:sz w:val="26"/>
                <w:szCs w:val="26"/>
              </w:rPr>
              <w:t>JK)</w:t>
            </w:r>
          </w:p>
        </w:tc>
      </w:tr>
      <w:tr w:rsidR="3833FD06" w:rsidRPr="00CE588A" w14:paraId="645453C7" w14:textId="77777777" w:rsidTr="3996C7AB">
        <w:tc>
          <w:tcPr>
            <w:tcW w:w="675" w:type="dxa"/>
          </w:tcPr>
          <w:p w14:paraId="2359B8CD" w14:textId="6DB33E3B" w:rsidR="3833FD06" w:rsidRPr="00CE588A" w:rsidRDefault="00AF7FE9" w:rsidP="08CA79E9">
            <w:pPr>
              <w:rPr>
                <w:rFonts w:cstheme="minorHAnsi"/>
                <w:b/>
              </w:rPr>
            </w:pPr>
          </w:p>
        </w:tc>
        <w:tc>
          <w:tcPr>
            <w:tcW w:w="9531" w:type="dxa"/>
          </w:tcPr>
          <w:p w14:paraId="7B36A2D3" w14:textId="0B326702" w:rsidR="08CA79E9" w:rsidRDefault="00AF7FE9" w:rsidP="3996C7AB">
            <w:pPr>
              <w:spacing w:before="40" w:after="40"/>
              <w:rPr>
                <w:sz w:val="26"/>
                <w:szCs w:val="26"/>
              </w:rPr>
            </w:pPr>
          </w:p>
          <w:p w14:paraId="1711707D" w14:textId="418A9CCC" w:rsidR="3833FD06" w:rsidRPr="00CE588A" w:rsidRDefault="00AF7FE9" w:rsidP="3996C7AB">
            <w:pPr>
              <w:spacing w:before="40" w:after="40"/>
              <w:rPr>
                <w:sz w:val="26"/>
                <w:szCs w:val="26"/>
              </w:rPr>
            </w:pPr>
            <w:r w:rsidRPr="3996C7AB">
              <w:rPr>
                <w:sz w:val="26"/>
                <w:szCs w:val="26"/>
              </w:rPr>
              <w:t>JK thanked everybody for attending.</w:t>
            </w:r>
            <w:r>
              <w:br/>
            </w:r>
            <w:r>
              <w:br/>
            </w:r>
            <w:r w:rsidRPr="3996C7AB">
              <w:rPr>
                <w:b/>
                <w:bCs/>
                <w:sz w:val="26"/>
                <w:szCs w:val="26"/>
              </w:rPr>
              <w:t xml:space="preserve">Date: </w:t>
            </w:r>
            <w:r w:rsidRPr="3996C7AB">
              <w:rPr>
                <w:sz w:val="26"/>
                <w:szCs w:val="26"/>
              </w:rPr>
              <w:t xml:space="preserve">Wednesday 14 July 2021, 13:00-14:30 </w:t>
            </w:r>
            <w:r>
              <w:br/>
            </w:r>
            <w:r w:rsidRPr="3996C7AB">
              <w:rPr>
                <w:b/>
                <w:bCs/>
                <w:sz w:val="26"/>
                <w:szCs w:val="26"/>
              </w:rPr>
              <w:t xml:space="preserve">Type: </w:t>
            </w:r>
            <w:r w:rsidRPr="3996C7AB">
              <w:rPr>
                <w:sz w:val="26"/>
                <w:szCs w:val="26"/>
              </w:rPr>
              <w:t>Business meetin</w:t>
            </w:r>
            <w:r w:rsidRPr="3996C7AB">
              <w:rPr>
                <w:sz w:val="26"/>
                <w:szCs w:val="26"/>
              </w:rPr>
              <w:t>g</w:t>
            </w:r>
          </w:p>
        </w:tc>
      </w:tr>
    </w:tbl>
    <w:p w14:paraId="4A02DBAD" w14:textId="668A10E6" w:rsidR="350CBDD7" w:rsidRDefault="00AF7FE9" w:rsidP="08CA79E9"/>
    <w:sectPr w:rsidR="350CBDD7" w:rsidSect="005152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667" w:right="1134" w:bottom="1247" w:left="1134" w:header="14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45977" w14:textId="77777777" w:rsidR="00585858" w:rsidRDefault="00AF7FE9" w:rsidP="00190426">
      <w:pPr>
        <w:spacing w:line="240" w:lineRule="auto"/>
      </w:pPr>
      <w:r>
        <w:separator/>
      </w:r>
    </w:p>
  </w:endnote>
  <w:endnote w:type="continuationSeparator" w:id="0">
    <w:p w14:paraId="1EE51963" w14:textId="77777777" w:rsidR="00585858" w:rsidRDefault="00AF7FE9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4F1CF" w14:textId="77777777" w:rsidR="006F477D" w:rsidRDefault="00AF7FE9" w:rsidP="006F477D">
    <w:pPr>
      <w:pStyle w:val="Foo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NHS Bath and North East Somerset,</w:t>
    </w:r>
    <w:r>
      <w:rPr>
        <w:rFonts w:ascii="Arial" w:hAnsi="Arial" w:cs="Arial"/>
        <w:szCs w:val="18"/>
      </w:rPr>
      <w:t xml:space="preserve"> Swindon and Wiltshire Clinical Commissioning Group</w:t>
    </w:r>
    <w:r>
      <w:rPr>
        <w:rFonts w:ascii="Arial" w:hAnsi="Arial" w:cs="Arial"/>
        <w:szCs w:val="18"/>
      </w:rPr>
      <w:tab/>
    </w:r>
    <w:sdt>
      <w:sdtPr>
        <w:rPr>
          <w:rFonts w:ascii="Arial" w:hAnsi="Arial" w:cs="Arial"/>
          <w:szCs w:val="18"/>
        </w:rPr>
        <w:id w:val="1687396598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Cs w:val="18"/>
          </w:rPr>
          <w:t xml:space="preserve">Page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PAGE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Cs w:val="18"/>
          </w:rPr>
          <w:t>6</w:t>
        </w:r>
        <w:r>
          <w:rPr>
            <w:rFonts w:ascii="Arial" w:hAnsi="Arial" w:cs="Arial"/>
            <w:b/>
            <w:bCs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of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NUMPAGES 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Cs w:val="18"/>
          </w:rPr>
          <w:t>13</w:t>
        </w:r>
        <w:r>
          <w:rPr>
            <w:rFonts w:ascii="Arial" w:hAnsi="Arial" w:cs="Arial"/>
            <w:b/>
            <w:bCs/>
            <w:szCs w:val="18"/>
          </w:rPr>
          <w:fldChar w:fldCharType="end"/>
        </w:r>
      </w:sdtContent>
    </w:sdt>
  </w:p>
  <w:p w14:paraId="53CFC183" w14:textId="77777777" w:rsidR="006F477D" w:rsidRDefault="00AF7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E6FD" w14:textId="77777777" w:rsidR="0093712D" w:rsidRDefault="00AF7FE9" w:rsidP="00E61329">
    <w:pPr>
      <w:jc w:val="both"/>
      <w:rPr>
        <w:rFonts w:ascii="Arial" w:hAnsi="Arial" w:cs="Arial"/>
        <w:sz w:val="20"/>
        <w:szCs w:val="20"/>
      </w:rPr>
    </w:pPr>
    <w:r w:rsidRPr="00E61329">
      <w:rPr>
        <w:rFonts w:ascii="Arial" w:hAnsi="Arial" w:cs="Arial"/>
        <w:sz w:val="20"/>
        <w:szCs w:val="20"/>
      </w:rPr>
      <w:t>NHS Bath and North East Somerset</w:t>
    </w:r>
    <w:r>
      <w:rPr>
        <w:rFonts w:ascii="Arial" w:hAnsi="Arial" w:cs="Arial"/>
        <w:sz w:val="20"/>
        <w:szCs w:val="20"/>
      </w:rPr>
      <w:t>, Swindon and Wiltshire</w:t>
    </w:r>
    <w:r w:rsidRPr="00E61329">
      <w:rPr>
        <w:rFonts w:ascii="Arial" w:hAnsi="Arial" w:cs="Arial"/>
        <w:sz w:val="20"/>
        <w:szCs w:val="20"/>
      </w:rPr>
      <w:t xml:space="preserve"> Clinical Commissioning Group</w:t>
    </w:r>
    <w:r>
      <w:rPr>
        <w:rFonts w:ascii="Arial" w:hAnsi="Arial" w:cs="Arial"/>
        <w:sz w:val="20"/>
        <w:szCs w:val="20"/>
      </w:rPr>
      <w:t>s</w:t>
    </w:r>
  </w:p>
  <w:p w14:paraId="41CE40BE" w14:textId="77777777" w:rsidR="0093712D" w:rsidRPr="00E61329" w:rsidRDefault="00AF7FE9" w:rsidP="00E61329">
    <w:pPr>
      <w:jc w:val="both"/>
      <w:rPr>
        <w:rFonts w:ascii="Arial" w:hAnsi="Arial" w:cs="Arial"/>
        <w:sz w:val="20"/>
        <w:szCs w:val="20"/>
      </w:rPr>
    </w:pPr>
  </w:p>
  <w:p w14:paraId="209681C8" w14:textId="77777777" w:rsidR="0093712D" w:rsidRPr="00E61329" w:rsidRDefault="00AF7FE9" w:rsidP="00E61329">
    <w:pPr>
      <w:pStyle w:val="Footer"/>
      <w:jc w:val="right"/>
      <w:rPr>
        <w:rFonts w:ascii="Arial" w:hAnsi="Arial" w:cs="Arial"/>
        <w:sz w:val="20"/>
        <w:szCs w:val="20"/>
      </w:rPr>
    </w:pPr>
    <w:r w:rsidRPr="00E61329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2016987782"/>
        <w:docPartObj>
          <w:docPartGallery w:val="Page Numbers (Top of Page)"/>
          <w:docPartUnique/>
        </w:docPartObj>
      </w:sdtPr>
      <w:sdtEndPr/>
      <w:sdtContent>
        <w:r w:rsidRPr="00E61329">
          <w:rPr>
            <w:rFonts w:ascii="Arial" w:hAnsi="Arial" w:cs="Arial"/>
            <w:sz w:val="20"/>
            <w:szCs w:val="20"/>
          </w:rPr>
          <w:t xml:space="preserve">Page </w:t>
        </w:r>
        <w:r w:rsidRPr="00E61329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E61329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E6132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E61329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E61329">
          <w:rPr>
            <w:rFonts w:ascii="Arial" w:hAnsi="Arial" w:cs="Arial"/>
            <w:sz w:val="20"/>
            <w:szCs w:val="20"/>
          </w:rPr>
          <w:t xml:space="preserve"> of </w:t>
        </w:r>
        <w:r w:rsidRPr="00E61329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E61329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E6132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13</w:t>
        </w:r>
        <w:r w:rsidRPr="00E61329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7BDD1" w14:textId="77777777" w:rsidR="006F477D" w:rsidRDefault="00AF7FE9" w:rsidP="006F477D">
    <w:pPr>
      <w:pStyle w:val="Foo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NHS Bath and North East </w:t>
    </w:r>
    <w:r>
      <w:rPr>
        <w:rFonts w:ascii="Arial" w:hAnsi="Arial" w:cs="Arial"/>
        <w:szCs w:val="18"/>
      </w:rPr>
      <w:t>Somerset, Swindon and Wiltshire Clinical Commissioning Group</w:t>
    </w:r>
    <w:r>
      <w:rPr>
        <w:rFonts w:ascii="Arial" w:hAnsi="Arial" w:cs="Arial"/>
        <w:szCs w:val="18"/>
      </w:rPr>
      <w:tab/>
    </w:r>
    <w:sdt>
      <w:sdtPr>
        <w:rPr>
          <w:rFonts w:ascii="Arial" w:hAnsi="Arial" w:cs="Arial"/>
          <w:szCs w:val="18"/>
        </w:rPr>
        <w:id w:val="-1495328523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Cs w:val="18"/>
          </w:rPr>
          <w:t xml:space="preserve">Page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PAGE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Cs w:val="18"/>
          </w:rPr>
          <w:t>1</w:t>
        </w:r>
        <w:r>
          <w:rPr>
            <w:rFonts w:ascii="Arial" w:hAnsi="Arial" w:cs="Arial"/>
            <w:b/>
            <w:bCs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of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NUMPAGES 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Cs w:val="18"/>
          </w:rPr>
          <w:t>13</w:t>
        </w:r>
        <w:r>
          <w:rPr>
            <w:rFonts w:ascii="Arial" w:hAnsi="Arial" w:cs="Arial"/>
            <w:b/>
            <w:bCs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1960A" w14:textId="77777777" w:rsidR="00585858" w:rsidRDefault="00AF7FE9" w:rsidP="00190426">
      <w:pPr>
        <w:spacing w:line="240" w:lineRule="auto"/>
      </w:pPr>
      <w:r>
        <w:separator/>
      </w:r>
    </w:p>
  </w:footnote>
  <w:footnote w:type="continuationSeparator" w:id="0">
    <w:p w14:paraId="30AD3B4A" w14:textId="77777777" w:rsidR="00585858" w:rsidRDefault="00AF7FE9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4A80" w14:textId="5D10A1DA" w:rsidR="0093712D" w:rsidRDefault="00AF7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8A75" w14:textId="621E203B" w:rsidR="0093712D" w:rsidRDefault="00AF7FE9" w:rsidP="00AB3525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7B652" w14:textId="08CDDFD5" w:rsidR="0093712D" w:rsidRDefault="00AF7F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3E5C67E1" wp14:editId="1ECB1A08">
          <wp:simplePos x="0" y="0"/>
          <wp:positionH relativeFrom="page">
            <wp:posOffset>4591685</wp:posOffset>
          </wp:positionH>
          <wp:positionV relativeFrom="page">
            <wp:posOffset>6350</wp:posOffset>
          </wp:positionV>
          <wp:extent cx="2969895" cy="1310005"/>
          <wp:effectExtent l="0" t="0" r="1905" b="4445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3xeQYpT25Y0KVN" id="YYM5SQ8a"/>
    <int:WordHash hashCode="g8ZvtO6Y7d73y6" id="61Nbea/D"/>
    <int:WordHash hashCode="coaOghMxtdSLWW" id="DdMjZYJY"/>
  </int:Manifest>
  <int:Observations>
    <int:Content id="YYM5SQ8a">
      <int:Rejection type="LegacyProofing"/>
    </int:Content>
    <int:Content id="61Nbea/D">
      <int:Rejection type="LegacyProofing"/>
    </int:Content>
    <int:Content id="DdMjZYJ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C51"/>
    <w:multiLevelType w:val="hybridMultilevel"/>
    <w:tmpl w:val="20C46B30"/>
    <w:lvl w:ilvl="0" w:tplc="AF225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07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43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8E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4C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25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CD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AA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8F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6C3"/>
    <w:multiLevelType w:val="hybridMultilevel"/>
    <w:tmpl w:val="5F6E8AA4"/>
    <w:lvl w:ilvl="0" w:tplc="226A9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8D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AC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26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6D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29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C6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E8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40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7046"/>
    <w:multiLevelType w:val="hybridMultilevel"/>
    <w:tmpl w:val="E410D81A"/>
    <w:lvl w:ilvl="0" w:tplc="DEEA3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2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EA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AD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E2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41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4E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05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0D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9F2"/>
    <w:multiLevelType w:val="hybridMultilevel"/>
    <w:tmpl w:val="A0767548"/>
    <w:lvl w:ilvl="0" w:tplc="C700E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CB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00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E3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CF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ED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0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A8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AA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0CEB"/>
    <w:multiLevelType w:val="hybridMultilevel"/>
    <w:tmpl w:val="9752B1E2"/>
    <w:lvl w:ilvl="0" w:tplc="AA88C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61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80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6D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4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EC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21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8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88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3BF1"/>
    <w:multiLevelType w:val="hybridMultilevel"/>
    <w:tmpl w:val="AB1A95CC"/>
    <w:lvl w:ilvl="0" w:tplc="4D1C8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ED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AD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2F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CE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28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2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68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C8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B6440"/>
    <w:multiLevelType w:val="hybridMultilevel"/>
    <w:tmpl w:val="66B0D68E"/>
    <w:lvl w:ilvl="0" w:tplc="C3CE6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20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00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29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63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A8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C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AD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C8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62161"/>
    <w:multiLevelType w:val="hybridMultilevel"/>
    <w:tmpl w:val="79BEF6C0"/>
    <w:lvl w:ilvl="0" w:tplc="A6A8F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6A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04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AF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69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28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21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49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8D3"/>
    <w:multiLevelType w:val="hybridMultilevel"/>
    <w:tmpl w:val="E760D432"/>
    <w:lvl w:ilvl="0" w:tplc="2934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83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21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02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0E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69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28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E3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E4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E3092"/>
    <w:multiLevelType w:val="hybridMultilevel"/>
    <w:tmpl w:val="FF16719E"/>
    <w:lvl w:ilvl="0" w:tplc="41CC8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80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87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CC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45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81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8C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46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67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4D67"/>
    <w:multiLevelType w:val="multilevel"/>
    <w:tmpl w:val="C6F89C0C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AC71C2"/>
    <w:multiLevelType w:val="hybridMultilevel"/>
    <w:tmpl w:val="D564FD8C"/>
    <w:lvl w:ilvl="0" w:tplc="78248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68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01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AA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CC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E2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4E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8B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89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752B"/>
    <w:multiLevelType w:val="hybridMultilevel"/>
    <w:tmpl w:val="A756F97E"/>
    <w:lvl w:ilvl="0" w:tplc="DDFEE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24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5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8D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06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AF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C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A9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EC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75DB4"/>
    <w:multiLevelType w:val="hybridMultilevel"/>
    <w:tmpl w:val="23306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CE5C3C"/>
    <w:multiLevelType w:val="hybridMultilevel"/>
    <w:tmpl w:val="5A6EC8A2"/>
    <w:lvl w:ilvl="0" w:tplc="6B22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40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24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E3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E7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8C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45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2B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44C2"/>
    <w:multiLevelType w:val="hybridMultilevel"/>
    <w:tmpl w:val="EF229150"/>
    <w:lvl w:ilvl="0" w:tplc="426ED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0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E4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82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61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0F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22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04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2B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8"/>
  </w:num>
  <w:num w:numId="5">
    <w:abstractNumId w:val="6"/>
  </w:num>
  <w:num w:numId="6">
    <w:abstractNumId w:val="14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1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E9"/>
    <w:rsid w:val="00A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17C0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AF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444F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81C9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444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rsid w:val="00AD444F"/>
    <w:rPr>
      <w:rFonts w:asciiTheme="majorHAnsi" w:eastAsiaTheme="majorEastAsia" w:hAnsiTheme="majorHAnsi" w:cstheme="majorBidi"/>
      <w:b/>
      <w:bCs/>
      <w:color w:val="0081C9" w:themeColor="accen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D444F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rsid w:val="00F75471"/>
    <w:rPr>
      <w:sz w:val="24"/>
    </w:rPr>
  </w:style>
  <w:style w:type="paragraph" w:styleId="NormalWeb">
    <w:name w:val="Normal (Web)"/>
    <w:basedOn w:val="Normal"/>
    <w:uiPriority w:val="99"/>
    <w:unhideWhenUsed/>
    <w:rsid w:val="004E18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en-GB"/>
    </w:rPr>
  </w:style>
  <w:style w:type="table" w:styleId="TableGrid">
    <w:name w:val="Table Grid"/>
    <w:basedOn w:val="TableNormal"/>
    <w:uiPriority w:val="59"/>
    <w:rsid w:val="00907B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7B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4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6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AF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444F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81C9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444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rsid w:val="00AD444F"/>
    <w:rPr>
      <w:rFonts w:asciiTheme="majorHAnsi" w:eastAsiaTheme="majorEastAsia" w:hAnsiTheme="majorHAnsi" w:cstheme="majorBidi"/>
      <w:b/>
      <w:bCs/>
      <w:color w:val="0081C9" w:themeColor="accen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D444F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rsid w:val="00F75471"/>
    <w:rPr>
      <w:sz w:val="24"/>
    </w:rPr>
  </w:style>
  <w:style w:type="paragraph" w:styleId="NormalWeb">
    <w:name w:val="Normal (Web)"/>
    <w:basedOn w:val="Normal"/>
    <w:uiPriority w:val="99"/>
    <w:unhideWhenUsed/>
    <w:rsid w:val="004E18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en-GB"/>
    </w:rPr>
  </w:style>
  <w:style w:type="table" w:styleId="TableGrid">
    <w:name w:val="Table Grid"/>
    <w:basedOn w:val="TableNormal"/>
    <w:uiPriority w:val="59"/>
    <w:rsid w:val="00907B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7B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4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f4cb97643da84715" Type="http://schemas.microsoft.com/office/2019/09/relationships/intelligence" Target="intelligenc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4A02"/>
    <w:rsid w:val="00B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6A8F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ECD0-03BD-4F34-BCB5-D750850C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23408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timroe</dc:creator>
  <cp:lastModifiedBy>Frost Emma (Banes CCG)</cp:lastModifiedBy>
  <cp:revision>2</cp:revision>
  <dcterms:created xsi:type="dcterms:W3CDTF">2021-06-18T12:36:00Z</dcterms:created>
  <dcterms:modified xsi:type="dcterms:W3CDTF">2021-06-18T12:36:00Z</dcterms:modified>
</cp:coreProperties>
</file>