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4998" w14:textId="77777777" w:rsidR="00F7785B" w:rsidRDefault="00F7785B" w:rsidP="00F7785B">
      <w:pPr>
        <w:spacing w:before="100" w:beforeAutospacing="1" w:after="100" w:afterAutospacing="1"/>
        <w:rPr>
          <w:rFonts w:ascii="Arial" w:hAnsi="Arial" w:cs="Arial"/>
          <w:b/>
          <w:bCs/>
          <w:sz w:val="24"/>
          <w:szCs w:val="24"/>
          <w:u w:val="single"/>
          <w:lang w:eastAsia="en-GB"/>
        </w:rPr>
      </w:pPr>
      <w:r>
        <w:rPr>
          <w:rFonts w:ascii="Arial" w:hAnsi="Arial" w:cs="Arial"/>
          <w:b/>
          <w:bCs/>
          <w:sz w:val="24"/>
          <w:szCs w:val="24"/>
          <w:u w:val="single"/>
          <w:lang w:eastAsia="en-GB"/>
        </w:rPr>
        <w:t>Actions for practices delivering the COVID-19 Vaccination Enhanced Service as part of a PCN Grouping – a reminder</w:t>
      </w:r>
    </w:p>
    <w:p w14:paraId="13120F6F" w14:textId="77777777" w:rsidR="00F7785B" w:rsidRDefault="00F7785B" w:rsidP="00F7785B">
      <w:pPr>
        <w:numPr>
          <w:ilvl w:val="0"/>
          <w:numId w:val="1"/>
        </w:numPr>
        <w:spacing w:line="252" w:lineRule="auto"/>
        <w:ind w:left="360"/>
        <w:rPr>
          <w:color w:val="0563C1"/>
          <w:u w:val="single"/>
          <w:lang w:eastAsia="en-GB"/>
        </w:rPr>
      </w:pPr>
      <w:r>
        <w:rPr>
          <w:rFonts w:ascii="Arial" w:hAnsi="Arial" w:cs="Arial"/>
          <w:sz w:val="24"/>
          <w:szCs w:val="24"/>
          <w:lang w:eastAsia="en-GB"/>
        </w:rPr>
        <w:t xml:space="preserve">The following information is a reminder of the instructions set out in our letter of </w:t>
      </w:r>
      <w:hyperlink r:id="rId5" w:history="1">
        <w:r>
          <w:rPr>
            <w:rStyle w:val="Hyperlink"/>
            <w:rFonts w:ascii="Arial" w:hAnsi="Arial" w:cs="Arial"/>
            <w:sz w:val="24"/>
            <w:szCs w:val="24"/>
            <w:lang w:eastAsia="en-GB"/>
          </w:rPr>
          <w:t>30 September</w:t>
        </w:r>
      </w:hyperlink>
      <w:r>
        <w:rPr>
          <w:rFonts w:ascii="Arial" w:hAnsi="Arial" w:cs="Arial"/>
          <w:color w:val="0563C1"/>
          <w:sz w:val="24"/>
          <w:szCs w:val="24"/>
          <w:u w:val="single"/>
          <w:lang w:eastAsia="en-GB"/>
        </w:rPr>
        <w:t>.</w:t>
      </w:r>
    </w:p>
    <w:p w14:paraId="36E6C62E" w14:textId="77777777" w:rsidR="00F7785B" w:rsidRDefault="00F7785B" w:rsidP="00F7785B">
      <w:pPr>
        <w:spacing w:line="252" w:lineRule="auto"/>
        <w:ind w:left="360"/>
        <w:rPr>
          <w:lang w:eastAsia="en-GB"/>
        </w:rPr>
      </w:pPr>
    </w:p>
    <w:p w14:paraId="4E4D96AC" w14:textId="77777777" w:rsidR="00F7785B" w:rsidRDefault="00F7785B" w:rsidP="00F7785B">
      <w:pPr>
        <w:numPr>
          <w:ilvl w:val="0"/>
          <w:numId w:val="1"/>
        </w:numPr>
        <w:spacing w:line="252" w:lineRule="auto"/>
        <w:ind w:left="360"/>
        <w:rPr>
          <w:rFonts w:ascii="Arial" w:hAnsi="Arial" w:cs="Arial"/>
          <w:sz w:val="24"/>
          <w:szCs w:val="24"/>
          <w:lang w:eastAsia="en-GB"/>
        </w:rPr>
      </w:pPr>
      <w:r>
        <w:rPr>
          <w:rFonts w:ascii="Arial" w:hAnsi="Arial" w:cs="Arial"/>
          <w:sz w:val="24"/>
          <w:szCs w:val="24"/>
          <w:lang w:eastAsia="en-GB"/>
        </w:rPr>
        <w:t xml:space="preserve">Practices should ensure they have access to the GP COVID-19 vaccine dashboard. The dashboard is accessed via smartcard and </w:t>
      </w:r>
      <w:r>
        <w:rPr>
          <w:rFonts w:ascii="Arial" w:hAnsi="Arial" w:cs="Arial"/>
          <w:b/>
          <w:bCs/>
          <w:sz w:val="24"/>
          <w:szCs w:val="24"/>
          <w:lang w:eastAsia="en-GB"/>
        </w:rPr>
        <w:t xml:space="preserve">instructions on </w:t>
      </w:r>
      <w:hyperlink r:id="rId6" w:anchor="getting-access" w:history="1">
        <w:r>
          <w:rPr>
            <w:rStyle w:val="Hyperlink"/>
            <w:rFonts w:ascii="Arial" w:hAnsi="Arial" w:cs="Arial"/>
            <w:b/>
            <w:bCs/>
            <w:sz w:val="24"/>
            <w:szCs w:val="24"/>
            <w:lang w:eastAsia="en-GB"/>
          </w:rPr>
          <w:t>access</w:t>
        </w:r>
      </w:hyperlink>
      <w:r>
        <w:rPr>
          <w:rFonts w:ascii="Arial" w:hAnsi="Arial" w:cs="Arial"/>
          <w:b/>
          <w:bCs/>
          <w:sz w:val="24"/>
          <w:szCs w:val="24"/>
          <w:lang w:eastAsia="en-GB"/>
        </w:rPr>
        <w:t xml:space="preserve"> and </w:t>
      </w:r>
      <w:hyperlink r:id="rId7" w:anchor="user-guide-and-training-videos" w:history="1">
        <w:r>
          <w:rPr>
            <w:rStyle w:val="Hyperlink"/>
            <w:rFonts w:ascii="Arial" w:hAnsi="Arial" w:cs="Arial"/>
            <w:b/>
            <w:bCs/>
            <w:sz w:val="24"/>
            <w:szCs w:val="24"/>
            <w:lang w:eastAsia="en-GB"/>
          </w:rPr>
          <w:t>user guides</w:t>
        </w:r>
      </w:hyperlink>
      <w:r>
        <w:rPr>
          <w:rFonts w:ascii="Arial" w:hAnsi="Arial" w:cs="Arial"/>
          <w:sz w:val="24"/>
          <w:szCs w:val="24"/>
          <w:lang w:eastAsia="en-GB"/>
        </w:rPr>
        <w:t xml:space="preserve"> are available </w:t>
      </w:r>
      <w:hyperlink r:id="rId8" w:anchor="getting-access" w:history="1">
        <w:r>
          <w:rPr>
            <w:rStyle w:val="Hyperlink"/>
            <w:rFonts w:ascii="Arial" w:hAnsi="Arial" w:cs="Arial"/>
            <w:sz w:val="24"/>
            <w:szCs w:val="24"/>
            <w:lang w:eastAsia="en-GB"/>
          </w:rPr>
          <w:t>here.</w:t>
        </w:r>
      </w:hyperlink>
      <w:r>
        <w:rPr>
          <w:rFonts w:ascii="Arial" w:hAnsi="Arial" w:cs="Arial"/>
          <w:sz w:val="24"/>
          <w:szCs w:val="24"/>
          <w:lang w:eastAsia="en-GB"/>
        </w:rPr>
        <w:t xml:space="preserve"> Any issues in accessing the dashboard should be raised with </w:t>
      </w:r>
      <w:hyperlink r:id="rId9" w:history="1">
        <w:r>
          <w:rPr>
            <w:rStyle w:val="Hyperlink"/>
            <w:rFonts w:ascii="Arial" w:hAnsi="Arial" w:cs="Arial"/>
            <w:sz w:val="24"/>
            <w:szCs w:val="24"/>
            <w:lang w:eastAsia="en-GB"/>
          </w:rPr>
          <w:t>ssd.nationalservicedesk@nhs.net</w:t>
        </w:r>
      </w:hyperlink>
      <w:r>
        <w:rPr>
          <w:rFonts w:ascii="Arial" w:hAnsi="Arial" w:cs="Arial"/>
          <w:sz w:val="24"/>
          <w:szCs w:val="24"/>
          <w:lang w:eastAsia="en-GB"/>
        </w:rPr>
        <w:t xml:space="preserve">. </w:t>
      </w:r>
    </w:p>
    <w:p w14:paraId="119A14A9" w14:textId="77777777" w:rsidR="00F7785B" w:rsidRDefault="00F7785B" w:rsidP="00F7785B">
      <w:pPr>
        <w:spacing w:line="252" w:lineRule="auto"/>
        <w:ind w:left="360"/>
        <w:rPr>
          <w:rFonts w:ascii="Arial" w:hAnsi="Arial" w:cs="Arial"/>
          <w:sz w:val="24"/>
          <w:szCs w:val="24"/>
          <w:lang w:eastAsia="en-GB"/>
        </w:rPr>
      </w:pPr>
    </w:p>
    <w:p w14:paraId="5F175881" w14:textId="77777777" w:rsidR="00F7785B" w:rsidRDefault="00F7785B" w:rsidP="00F7785B">
      <w:pPr>
        <w:numPr>
          <w:ilvl w:val="0"/>
          <w:numId w:val="1"/>
        </w:numPr>
        <w:spacing w:line="252" w:lineRule="auto"/>
        <w:ind w:left="360"/>
        <w:rPr>
          <w:rFonts w:ascii="Arial" w:hAnsi="Arial" w:cs="Arial"/>
          <w:sz w:val="24"/>
          <w:szCs w:val="24"/>
          <w:lang w:eastAsia="en-GB"/>
        </w:rPr>
      </w:pPr>
      <w:r>
        <w:rPr>
          <w:rFonts w:ascii="Arial" w:hAnsi="Arial" w:cs="Arial"/>
          <w:sz w:val="24"/>
          <w:szCs w:val="24"/>
          <w:lang w:eastAsia="en-GB"/>
        </w:rPr>
        <w:t xml:space="preserve">From 4 October, practices should review the indicative practice level list of patients in the GP COVID-19 vaccine dashboard. This supports identification of patients via NHS number that national coding data suggest may be eligible for a third primary dose. This is a non-exhaustive list and due to coding and challenges of identifying a complex cohort of patients there may be additional eligible individuals not listed identified by the practice. The full list of eligible individuals is included at Annex A of the </w:t>
      </w:r>
      <w:hyperlink r:id="rId10" w:history="1">
        <w:r>
          <w:rPr>
            <w:rStyle w:val="Hyperlink"/>
            <w:rFonts w:ascii="Arial" w:hAnsi="Arial" w:cs="Arial"/>
            <w:sz w:val="24"/>
            <w:szCs w:val="24"/>
            <w:lang w:eastAsia="en-GB"/>
          </w:rPr>
          <w:t>le</w:t>
        </w:r>
        <w:r>
          <w:rPr>
            <w:rStyle w:val="Hyperlink"/>
            <w:rFonts w:ascii="Arial" w:hAnsi="Arial" w:cs="Arial"/>
            <w:sz w:val="24"/>
            <w:szCs w:val="24"/>
            <w:lang w:eastAsia="en-GB"/>
          </w:rPr>
          <w:t>t</w:t>
        </w:r>
        <w:r>
          <w:rPr>
            <w:rStyle w:val="Hyperlink"/>
            <w:rFonts w:ascii="Arial" w:hAnsi="Arial" w:cs="Arial"/>
            <w:sz w:val="24"/>
            <w:szCs w:val="24"/>
            <w:lang w:eastAsia="en-GB"/>
          </w:rPr>
          <w:t>ter</w:t>
        </w:r>
      </w:hyperlink>
      <w:r>
        <w:rPr>
          <w:rFonts w:ascii="Arial" w:hAnsi="Arial" w:cs="Arial"/>
          <w:sz w:val="24"/>
          <w:szCs w:val="24"/>
          <w:lang w:eastAsia="en-GB"/>
        </w:rPr>
        <w:t xml:space="preserve">. </w:t>
      </w:r>
    </w:p>
    <w:p w14:paraId="1DAB4726" w14:textId="77777777" w:rsidR="00F7785B" w:rsidRDefault="00F7785B" w:rsidP="00F7785B">
      <w:pPr>
        <w:spacing w:line="252" w:lineRule="auto"/>
        <w:ind w:left="360"/>
        <w:rPr>
          <w:rFonts w:ascii="Arial" w:hAnsi="Arial" w:cs="Arial"/>
          <w:sz w:val="24"/>
          <w:szCs w:val="24"/>
          <w:lang w:eastAsia="en-GB"/>
        </w:rPr>
      </w:pPr>
    </w:p>
    <w:p w14:paraId="4ED54110" w14:textId="77777777" w:rsidR="00F7785B" w:rsidRDefault="00F7785B" w:rsidP="00F7785B">
      <w:pPr>
        <w:numPr>
          <w:ilvl w:val="0"/>
          <w:numId w:val="1"/>
        </w:numPr>
        <w:spacing w:line="252" w:lineRule="auto"/>
        <w:ind w:left="360"/>
        <w:rPr>
          <w:rFonts w:ascii="Arial" w:hAnsi="Arial" w:cs="Arial"/>
          <w:sz w:val="24"/>
          <w:szCs w:val="24"/>
          <w:lang w:eastAsia="en-GB"/>
        </w:rPr>
      </w:pPr>
      <w:r>
        <w:rPr>
          <w:rFonts w:ascii="Arial" w:hAnsi="Arial" w:cs="Arial"/>
          <w:sz w:val="24"/>
          <w:szCs w:val="24"/>
          <w:lang w:eastAsia="en-GB"/>
        </w:rPr>
        <w:t xml:space="preserve">Where they have not already done so, practices should contact patients identified via the GP COVID-19 vaccine dashboard or local searches of their registered list </w:t>
      </w:r>
      <w:r>
        <w:rPr>
          <w:rFonts w:ascii="Arial" w:hAnsi="Arial" w:cs="Arial"/>
          <w:b/>
          <w:bCs/>
          <w:sz w:val="24"/>
          <w:szCs w:val="24"/>
          <w:lang w:eastAsia="en-GB"/>
        </w:rPr>
        <w:t>by 11 October</w:t>
      </w:r>
      <w:r>
        <w:rPr>
          <w:rFonts w:ascii="Arial" w:hAnsi="Arial" w:cs="Arial"/>
          <w:sz w:val="24"/>
          <w:szCs w:val="24"/>
          <w:lang w:eastAsia="en-GB"/>
        </w:rPr>
        <w:t xml:space="preserve"> and offer a third primary dose through their PCN with consideration to the optimal timing and interaction with any treatment as set out by the JCVI. As per JCVI advice, the third dose should usually be at least 8 weeks after the second dose but with flexibility to adjust the timing so that, where possible, immunosuppression is at a minimum when the vaccine dose is given.</w:t>
      </w:r>
    </w:p>
    <w:p w14:paraId="662DEEDB" w14:textId="77777777" w:rsidR="00F7785B" w:rsidRDefault="00F7785B" w:rsidP="00F7785B">
      <w:pPr>
        <w:spacing w:line="252" w:lineRule="auto"/>
        <w:ind w:left="360"/>
        <w:rPr>
          <w:rFonts w:ascii="Arial" w:hAnsi="Arial" w:cs="Arial"/>
          <w:sz w:val="24"/>
          <w:szCs w:val="24"/>
          <w:lang w:eastAsia="en-GB"/>
        </w:rPr>
      </w:pPr>
    </w:p>
    <w:p w14:paraId="0B3144EB" w14:textId="77777777" w:rsidR="00F7785B" w:rsidRDefault="00F7785B" w:rsidP="00F7785B">
      <w:pPr>
        <w:numPr>
          <w:ilvl w:val="0"/>
          <w:numId w:val="1"/>
        </w:numPr>
        <w:spacing w:line="252" w:lineRule="auto"/>
        <w:ind w:left="360"/>
        <w:rPr>
          <w:rFonts w:ascii="Arial" w:hAnsi="Arial" w:cs="Arial"/>
          <w:sz w:val="24"/>
          <w:szCs w:val="24"/>
          <w:lang w:eastAsia="en-GB"/>
        </w:rPr>
      </w:pPr>
      <w:r>
        <w:rPr>
          <w:rFonts w:ascii="Arial" w:hAnsi="Arial" w:cs="Arial"/>
          <w:sz w:val="24"/>
          <w:szCs w:val="24"/>
          <w:lang w:eastAsia="en-GB"/>
        </w:rPr>
        <w:t xml:space="preserve">NHS Trusts have also been asked to identify all patients eligible for a third primary dose within their care and offer a vaccination, at an appropriate time, at the NHS Trust. To support this process, on 5 October we wrote to NHS Trusts via the chief pharmacist network asking that secondary and tertiary dispensing records should be used to identify patients that may be eligible for a third primary dose, and this data should be reviewed by specialist care groups and Trust pharmacy teams to confirm eligibility.  Where it is not possible for the NHS Trust to offer a vaccine on site, it is expected a consultant letter will be sent directly to the patient, copied to their GP, to support vaccination elsewhere. This action has been requested to ensure all patients can access a vaccination as quickly as possible to ensure maximum protection. </w:t>
      </w:r>
    </w:p>
    <w:p w14:paraId="7C2D9A6C" w14:textId="77777777" w:rsidR="00F7785B" w:rsidRDefault="00F7785B" w:rsidP="00F7785B">
      <w:pPr>
        <w:rPr>
          <w:rFonts w:ascii="Arial" w:hAnsi="Arial" w:cs="Arial"/>
          <w:sz w:val="24"/>
          <w:szCs w:val="24"/>
          <w:u w:val="single"/>
        </w:rPr>
      </w:pPr>
    </w:p>
    <w:p w14:paraId="7C8A2421" w14:textId="77777777" w:rsidR="00F7785B" w:rsidRDefault="00F7785B" w:rsidP="00F7785B">
      <w:pPr>
        <w:rPr>
          <w:rFonts w:ascii="Arial" w:hAnsi="Arial" w:cs="Arial"/>
          <w:sz w:val="24"/>
          <w:szCs w:val="24"/>
          <w:u w:val="single"/>
        </w:rPr>
      </w:pPr>
      <w:r>
        <w:rPr>
          <w:rFonts w:ascii="Arial" w:hAnsi="Arial" w:cs="Arial"/>
          <w:sz w:val="24"/>
          <w:szCs w:val="24"/>
          <w:u w:val="single"/>
        </w:rPr>
        <w:t>Recording of the doses</w:t>
      </w:r>
    </w:p>
    <w:p w14:paraId="5A9912C7" w14:textId="77777777" w:rsidR="00F7785B" w:rsidRDefault="00F7785B" w:rsidP="00F7785B">
      <w:pPr>
        <w:spacing w:line="252" w:lineRule="auto"/>
        <w:ind w:left="360"/>
        <w:rPr>
          <w:rFonts w:ascii="Arial" w:hAnsi="Arial" w:cs="Arial"/>
          <w:sz w:val="24"/>
          <w:szCs w:val="24"/>
          <w:lang w:eastAsia="en-GB"/>
        </w:rPr>
      </w:pPr>
    </w:p>
    <w:p w14:paraId="3D7241D2" w14:textId="77777777" w:rsidR="00F7785B" w:rsidRDefault="00F7785B" w:rsidP="00F7785B">
      <w:pPr>
        <w:numPr>
          <w:ilvl w:val="0"/>
          <w:numId w:val="2"/>
        </w:numPr>
        <w:spacing w:line="252" w:lineRule="auto"/>
        <w:ind w:left="360"/>
        <w:rPr>
          <w:rFonts w:ascii="Arial" w:hAnsi="Arial" w:cs="Arial"/>
          <w:sz w:val="24"/>
          <w:szCs w:val="24"/>
          <w:lang w:eastAsia="en-GB"/>
        </w:rPr>
      </w:pPr>
      <w:r>
        <w:rPr>
          <w:rFonts w:ascii="Arial" w:hAnsi="Arial" w:cs="Arial"/>
          <w:sz w:val="24"/>
          <w:szCs w:val="24"/>
          <w:lang w:eastAsia="en-GB"/>
        </w:rPr>
        <w:t xml:space="preserve">From 14 October, functionality will be available in practices’ COVID-19 Point of Care system to record 3rd primary doses. Until this is available, you are reminded that 3rd doses must be marked as a "Booster" in your Point of Care system. </w:t>
      </w:r>
      <w:r>
        <w:rPr>
          <w:rFonts w:ascii="Arial" w:hAnsi="Arial" w:cs="Arial"/>
          <w:sz w:val="24"/>
          <w:szCs w:val="24"/>
          <w:u w:val="single"/>
          <w:lang w:eastAsia="en-GB"/>
        </w:rPr>
        <w:t>Please do not use the 1st dose or 2nd dose fields to record these vaccines</w:t>
      </w:r>
      <w:r>
        <w:rPr>
          <w:rFonts w:ascii="Arial" w:hAnsi="Arial" w:cs="Arial"/>
          <w:sz w:val="24"/>
          <w:szCs w:val="24"/>
          <w:lang w:eastAsia="en-GB"/>
        </w:rPr>
        <w:t xml:space="preserve"> as the individual receiving the 3rd dose should already have received a 1st and 2nd dose. </w:t>
      </w:r>
    </w:p>
    <w:p w14:paraId="6353F3D9" w14:textId="77777777" w:rsidR="00F7785B" w:rsidRDefault="00F7785B" w:rsidP="00F7785B">
      <w:pPr>
        <w:rPr>
          <w:rFonts w:ascii="Arial" w:hAnsi="Arial" w:cs="Arial"/>
          <w:sz w:val="24"/>
          <w:szCs w:val="24"/>
        </w:rPr>
      </w:pPr>
    </w:p>
    <w:p w14:paraId="26BEAE84" w14:textId="77777777" w:rsidR="00F7785B" w:rsidRDefault="00F7785B" w:rsidP="00F7785B">
      <w:pPr>
        <w:numPr>
          <w:ilvl w:val="0"/>
          <w:numId w:val="2"/>
        </w:numPr>
        <w:spacing w:line="252" w:lineRule="auto"/>
        <w:ind w:left="360"/>
        <w:contextualSpacing/>
        <w:rPr>
          <w:rFonts w:ascii="Arial" w:hAnsi="Arial" w:cs="Arial"/>
          <w:color w:val="000000"/>
          <w:sz w:val="24"/>
          <w:szCs w:val="24"/>
        </w:rPr>
      </w:pPr>
      <w:r>
        <w:rPr>
          <w:rFonts w:ascii="Arial" w:hAnsi="Arial" w:cs="Arial"/>
          <w:sz w:val="24"/>
          <w:szCs w:val="24"/>
        </w:rPr>
        <w:lastRenderedPageBreak/>
        <w:t>Records marked as “booster” will be retrospectively amended through a national process to ensure that the third primary dose is accurately recorded as such. This will ensure distinction is made between a third primary dose and a booster dose and that individuals are invited for any subsequent doses should that be recommended.</w:t>
      </w:r>
    </w:p>
    <w:p w14:paraId="7C39B9E4" w14:textId="77777777" w:rsidR="00F7785B" w:rsidRDefault="00F7785B" w:rsidP="00F7785B">
      <w:pPr>
        <w:rPr>
          <w:rFonts w:ascii="Arial" w:hAnsi="Arial" w:cs="Arial"/>
          <w:sz w:val="24"/>
          <w:szCs w:val="24"/>
        </w:rPr>
      </w:pPr>
    </w:p>
    <w:p w14:paraId="4D9D6C05" w14:textId="77777777" w:rsidR="00F7785B" w:rsidRDefault="00F7785B" w:rsidP="00F7785B">
      <w:pPr>
        <w:spacing w:before="100" w:beforeAutospacing="1" w:after="100" w:afterAutospacing="1"/>
        <w:rPr>
          <w:rFonts w:ascii="Arial" w:hAnsi="Arial" w:cs="Arial"/>
          <w:b/>
          <w:bCs/>
          <w:sz w:val="24"/>
          <w:szCs w:val="24"/>
          <w:u w:val="single"/>
          <w:lang w:eastAsia="en-GB"/>
        </w:rPr>
      </w:pPr>
      <w:r>
        <w:rPr>
          <w:rFonts w:ascii="Arial" w:hAnsi="Arial" w:cs="Arial"/>
          <w:b/>
          <w:bCs/>
          <w:sz w:val="24"/>
          <w:szCs w:val="24"/>
          <w:u w:val="single"/>
          <w:lang w:eastAsia="en-GB"/>
        </w:rPr>
        <w:t>Actions for GP Practices not delivering the COVID-19 vaccination Enhanced Service – a reminder</w:t>
      </w:r>
    </w:p>
    <w:p w14:paraId="2B45CFF6" w14:textId="77777777" w:rsidR="00F7785B" w:rsidRDefault="00F7785B" w:rsidP="00F7785B">
      <w:pPr>
        <w:numPr>
          <w:ilvl w:val="0"/>
          <w:numId w:val="1"/>
        </w:numPr>
        <w:spacing w:line="252" w:lineRule="auto"/>
        <w:ind w:left="360"/>
        <w:rPr>
          <w:color w:val="0563C1"/>
          <w:u w:val="single"/>
          <w:lang w:eastAsia="en-GB"/>
        </w:rPr>
      </w:pPr>
      <w:r>
        <w:rPr>
          <w:rFonts w:ascii="Arial" w:hAnsi="Arial" w:cs="Arial"/>
          <w:sz w:val="24"/>
          <w:szCs w:val="24"/>
          <w:lang w:eastAsia="en-GB"/>
        </w:rPr>
        <w:t xml:space="preserve">The following information is a reminder of the instructions set out in our letter of </w:t>
      </w:r>
      <w:hyperlink r:id="rId11" w:history="1">
        <w:r>
          <w:rPr>
            <w:rStyle w:val="Hyperlink"/>
            <w:rFonts w:ascii="Arial" w:hAnsi="Arial" w:cs="Arial"/>
            <w:sz w:val="24"/>
            <w:szCs w:val="24"/>
            <w:lang w:eastAsia="en-GB"/>
          </w:rPr>
          <w:t>30 September</w:t>
        </w:r>
      </w:hyperlink>
      <w:r>
        <w:rPr>
          <w:rFonts w:ascii="Arial" w:hAnsi="Arial" w:cs="Arial"/>
          <w:color w:val="0563C1"/>
          <w:sz w:val="24"/>
          <w:szCs w:val="24"/>
          <w:u w:val="single"/>
          <w:lang w:eastAsia="en-GB"/>
        </w:rPr>
        <w:t>.</w:t>
      </w:r>
    </w:p>
    <w:p w14:paraId="3047E988" w14:textId="77777777" w:rsidR="00F7785B" w:rsidRDefault="00F7785B" w:rsidP="00F7785B">
      <w:pPr>
        <w:spacing w:line="252" w:lineRule="auto"/>
        <w:ind w:left="360"/>
        <w:rPr>
          <w:lang w:eastAsia="en-GB"/>
        </w:rPr>
      </w:pPr>
    </w:p>
    <w:p w14:paraId="51D6E617" w14:textId="77777777" w:rsidR="00F7785B" w:rsidRDefault="00F7785B" w:rsidP="00F7785B">
      <w:pPr>
        <w:numPr>
          <w:ilvl w:val="0"/>
          <w:numId w:val="1"/>
        </w:numPr>
        <w:spacing w:line="252" w:lineRule="auto"/>
        <w:ind w:left="360"/>
        <w:rPr>
          <w:rFonts w:ascii="Arial" w:hAnsi="Arial" w:cs="Arial"/>
          <w:sz w:val="24"/>
          <w:szCs w:val="24"/>
          <w:lang w:eastAsia="en-GB"/>
        </w:rPr>
      </w:pPr>
      <w:r>
        <w:rPr>
          <w:rFonts w:ascii="Arial" w:hAnsi="Arial" w:cs="Arial"/>
          <w:sz w:val="24"/>
          <w:szCs w:val="24"/>
          <w:lang w:eastAsia="en-GB"/>
        </w:rPr>
        <w:t xml:space="preserve">Practices that are not delivering the COVID-19 vaccination enhanced services should share a list of eligible patients, with their local commissioner (CCG) by </w:t>
      </w:r>
      <w:r>
        <w:rPr>
          <w:rFonts w:ascii="Arial" w:hAnsi="Arial" w:cs="Arial"/>
          <w:b/>
          <w:bCs/>
          <w:sz w:val="24"/>
          <w:szCs w:val="24"/>
          <w:lang w:eastAsia="en-GB"/>
        </w:rPr>
        <w:t>11 October</w:t>
      </w:r>
      <w:r>
        <w:rPr>
          <w:rFonts w:ascii="Arial" w:hAnsi="Arial" w:cs="Arial"/>
          <w:sz w:val="24"/>
          <w:szCs w:val="24"/>
          <w:lang w:eastAsia="en-GB"/>
        </w:rPr>
        <w:t xml:space="preserve"> so that these patients can be invited to book an appointment. This request is necessary for the reasons of public interest.</w:t>
      </w:r>
    </w:p>
    <w:p w14:paraId="3C45D879" w14:textId="77777777" w:rsidR="00F7785B" w:rsidRDefault="00F7785B" w:rsidP="00F7785B">
      <w:pPr>
        <w:spacing w:line="252" w:lineRule="auto"/>
        <w:ind w:left="720"/>
        <w:contextualSpacing/>
        <w:rPr>
          <w:rFonts w:ascii="Arial" w:hAnsi="Arial" w:cs="Arial"/>
          <w:sz w:val="24"/>
          <w:szCs w:val="24"/>
        </w:rPr>
      </w:pPr>
    </w:p>
    <w:p w14:paraId="5E8E64CF" w14:textId="77777777" w:rsidR="00F7785B" w:rsidRDefault="00F7785B" w:rsidP="00F7785B">
      <w:pPr>
        <w:rPr>
          <w:rFonts w:ascii="Arial" w:hAnsi="Arial" w:cs="Arial"/>
          <w:color w:val="0563C1"/>
          <w:sz w:val="24"/>
          <w:szCs w:val="24"/>
          <w:u w:val="single"/>
        </w:rPr>
      </w:pPr>
      <w:r>
        <w:rPr>
          <w:rFonts w:ascii="Arial" w:hAnsi="Arial" w:cs="Arial"/>
          <w:sz w:val="24"/>
          <w:szCs w:val="24"/>
        </w:rPr>
        <w:t xml:space="preserve">Practices should review the indicative practice level list of severely immunosuppressed available on the GP COVID-19 dashboard when compiling their list.  This is a non-exhaustive list and due to coding and challenges of identifying a complex cohort of patients there may be additional eligible individuals not listed identified by the practice. The dashboard is accessed via smartcard and </w:t>
      </w:r>
      <w:r>
        <w:rPr>
          <w:rFonts w:ascii="Arial" w:hAnsi="Arial" w:cs="Arial"/>
          <w:b/>
          <w:bCs/>
          <w:sz w:val="24"/>
          <w:szCs w:val="24"/>
        </w:rPr>
        <w:t xml:space="preserve">instructions on </w:t>
      </w:r>
      <w:hyperlink r:id="rId12" w:anchor="getting-access" w:history="1">
        <w:r>
          <w:rPr>
            <w:rStyle w:val="Hyperlink"/>
            <w:rFonts w:ascii="Arial" w:hAnsi="Arial" w:cs="Arial"/>
            <w:sz w:val="24"/>
            <w:szCs w:val="24"/>
          </w:rPr>
          <w:t>access</w:t>
        </w:r>
      </w:hyperlink>
      <w:r>
        <w:rPr>
          <w:rFonts w:ascii="Arial" w:hAnsi="Arial" w:cs="Arial"/>
          <w:b/>
          <w:bCs/>
          <w:sz w:val="24"/>
          <w:szCs w:val="24"/>
        </w:rPr>
        <w:t xml:space="preserve"> and </w:t>
      </w:r>
      <w:hyperlink r:id="rId13" w:anchor="user-guide-and-training-videos" w:history="1">
        <w:r>
          <w:rPr>
            <w:rStyle w:val="Hyperlink"/>
            <w:rFonts w:ascii="Arial" w:hAnsi="Arial" w:cs="Arial"/>
            <w:sz w:val="24"/>
            <w:szCs w:val="24"/>
          </w:rPr>
          <w:t>user guides</w:t>
        </w:r>
      </w:hyperlink>
      <w:r>
        <w:rPr>
          <w:rFonts w:ascii="Arial" w:hAnsi="Arial" w:cs="Arial"/>
          <w:sz w:val="24"/>
          <w:szCs w:val="24"/>
        </w:rPr>
        <w:t xml:space="preserve"> are available </w:t>
      </w:r>
      <w:hyperlink r:id="rId14" w:anchor="getting-access" w:history="1">
        <w:r>
          <w:rPr>
            <w:rStyle w:val="Hyperlink"/>
            <w:rFonts w:ascii="Arial" w:hAnsi="Arial" w:cs="Arial"/>
            <w:sz w:val="24"/>
            <w:szCs w:val="24"/>
          </w:rPr>
          <w:t>here.</w:t>
        </w:r>
      </w:hyperlink>
      <w:r>
        <w:rPr>
          <w:rFonts w:ascii="Arial" w:hAnsi="Arial" w:cs="Arial"/>
          <w:sz w:val="24"/>
          <w:szCs w:val="24"/>
        </w:rPr>
        <w:t xml:space="preserve"> Any issues in accessing the dashboard should be raised with </w:t>
      </w:r>
      <w:hyperlink r:id="rId15" w:history="1">
        <w:r>
          <w:rPr>
            <w:rStyle w:val="Hyperlink"/>
            <w:rFonts w:ascii="Arial" w:hAnsi="Arial" w:cs="Arial"/>
            <w:sz w:val="24"/>
            <w:szCs w:val="24"/>
          </w:rPr>
          <w:t>ssd.nationalservicedesk@nhs.net</w:t>
        </w:r>
      </w:hyperlink>
    </w:p>
    <w:p w14:paraId="17BE44A6" w14:textId="77777777" w:rsidR="00F7785B" w:rsidRDefault="00F7785B" w:rsidP="00F7785B">
      <w:pPr>
        <w:rPr>
          <w:rFonts w:ascii="Arial" w:hAnsi="Arial" w:cs="Arial"/>
        </w:rPr>
      </w:pPr>
    </w:p>
    <w:p w14:paraId="795C59E9" w14:textId="77777777" w:rsidR="00F7785B" w:rsidRDefault="00F7785B" w:rsidP="00F7785B">
      <w:pPr>
        <w:rPr>
          <w:rFonts w:ascii="Arial" w:hAnsi="Arial" w:cs="Arial"/>
          <w:sz w:val="24"/>
          <w:szCs w:val="24"/>
        </w:rPr>
      </w:pPr>
    </w:p>
    <w:p w14:paraId="4746CCEB" w14:textId="77777777" w:rsidR="00160AD0" w:rsidRDefault="00160AD0"/>
    <w:sectPr w:rsidR="00160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1B04"/>
    <w:multiLevelType w:val="multilevel"/>
    <w:tmpl w:val="4E849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D74AB6"/>
    <w:multiLevelType w:val="hybridMultilevel"/>
    <w:tmpl w:val="F9CC8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785B"/>
    <w:rsid w:val="00160AD0"/>
    <w:rsid w:val="00F7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DA9B"/>
  <w15:chartTrackingRefBased/>
  <w15:docId w15:val="{3B9C5987-EECB-40EC-93B1-4DA182B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8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85B"/>
    <w:rPr>
      <w:color w:val="0563C1"/>
      <w:u w:val="single"/>
    </w:rPr>
  </w:style>
  <w:style w:type="character" w:styleId="FollowedHyperlink">
    <w:name w:val="FollowedHyperlink"/>
    <w:basedOn w:val="DefaultParagraphFont"/>
    <w:uiPriority w:val="99"/>
    <w:semiHidden/>
    <w:unhideWhenUsed/>
    <w:rsid w:val="00F77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shboards/gp-covid-19-vaccine-dashboard" TargetMode="External"/><Relationship Id="rId13" Type="http://schemas.openxmlformats.org/officeDocument/2006/relationships/hyperlink" Target="https://digital.nhs.uk/dashboards/gp-covid-19-vaccine-dashboard" TargetMode="External"/><Relationship Id="rId3" Type="http://schemas.openxmlformats.org/officeDocument/2006/relationships/settings" Target="settings.xml"/><Relationship Id="rId7" Type="http://schemas.openxmlformats.org/officeDocument/2006/relationships/hyperlink" Target="https://digital.nhs.uk/dashboards/gp-covid-19-vaccine-dashboard" TargetMode="External"/><Relationship Id="rId12" Type="http://schemas.openxmlformats.org/officeDocument/2006/relationships/hyperlink" Target="https://digital.nhs.uk/dashboards/gp-covid-19-vaccine-dashboa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gital.nhs.uk/dashboards/gp-covid-19-vaccine-dashboard" TargetMode="External"/><Relationship Id="rId11" Type="http://schemas.openxmlformats.org/officeDocument/2006/relationships/hyperlink" Target="https://www.england.nhs.uk/coronavirus/wp-content/uploads/sites/52/2021/09/C1427-covid-19-vacc-assuring-implementation-of-jcvi-guidance-vaccinating-severely-immunosuppressed-individuals.pdf" TargetMode="External"/><Relationship Id="rId5" Type="http://schemas.openxmlformats.org/officeDocument/2006/relationships/hyperlink" Target="https://www.england.nhs.uk/coronavirus/wp-content/uploads/sites/52/2021/09/C1427-covid-19-vacc-assuring-implementation-of-jcvi-guidance-vaccinating-severely-immunosuppressed-individuals.pdf" TargetMode="External"/><Relationship Id="rId15" Type="http://schemas.openxmlformats.org/officeDocument/2006/relationships/hyperlink" Target="mailto:ssd.nationalservicedesk@nhs.net%0d" TargetMode="External"/><Relationship Id="rId10" Type="http://schemas.openxmlformats.org/officeDocument/2006/relationships/hyperlink" Target="https://www.england.nhs.uk/coronavirus/publication/covid-19-vaccinations-assuring-implementation-of-jcvi-guidance-for-vaccinating-severely-immunosuppressed-individuals-with-a-third-primary-dose/" TargetMode="External"/><Relationship Id="rId4" Type="http://schemas.openxmlformats.org/officeDocument/2006/relationships/webSettings" Target="webSettings.xml"/><Relationship Id="rId9" Type="http://schemas.openxmlformats.org/officeDocument/2006/relationships/hyperlink" Target="mailto:ssd.nationalservicedesk@nhs.net" TargetMode="External"/><Relationship Id="rId14" Type="http://schemas.openxmlformats.org/officeDocument/2006/relationships/hyperlink" Target="https://digital.nhs.uk/dashboards/gp-covid-19-vaccine-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Helen (NHS BATH AND NORTH EAST SOMERSET, SWINDON AND WILTSHIRE CCG)</dc:creator>
  <cp:keywords/>
  <dc:description/>
  <cp:lastModifiedBy>ROBERTSON, Helen (NHS BATH AND NORTH EAST SOMERSET, SWINDON AND WILTSHIRE CCG)</cp:lastModifiedBy>
  <cp:revision>1</cp:revision>
  <dcterms:created xsi:type="dcterms:W3CDTF">2021-10-08T14:05:00Z</dcterms:created>
  <dcterms:modified xsi:type="dcterms:W3CDTF">2021-10-08T14:10:00Z</dcterms:modified>
</cp:coreProperties>
</file>