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96" w:rsidRDefault="00F97265" w:rsidP="00D14396">
      <w:pPr>
        <w:pStyle w:val="Title"/>
        <w:rPr>
          <w:sz w:val="28"/>
          <w:szCs w:val="28"/>
        </w:rPr>
      </w:pPr>
      <w:r>
        <w:rPr>
          <w:sz w:val="28"/>
          <w:szCs w:val="28"/>
        </w:rPr>
        <w:t xml:space="preserve">Changes to the </w:t>
      </w:r>
      <w:r w:rsidR="00D14396" w:rsidRPr="00F97265">
        <w:rPr>
          <w:sz w:val="28"/>
          <w:szCs w:val="28"/>
        </w:rPr>
        <w:t xml:space="preserve">BSW Referral Services </w:t>
      </w:r>
      <w:r>
        <w:rPr>
          <w:sz w:val="28"/>
          <w:szCs w:val="28"/>
        </w:rPr>
        <w:t>– Briefing Update July 2021</w:t>
      </w:r>
    </w:p>
    <w:p w:rsidR="00C3578F" w:rsidRPr="00242B30" w:rsidRDefault="00C3578F" w:rsidP="00C3578F">
      <w:pPr>
        <w:rPr>
          <w:rFonts w:ascii="Arial" w:hAnsi="Arial" w:cs="Arial"/>
        </w:rPr>
      </w:pPr>
      <w:r w:rsidRPr="00242B30">
        <w:rPr>
          <w:rFonts w:ascii="Arial" w:hAnsi="Arial" w:cs="Arial"/>
        </w:rPr>
        <w:t xml:space="preserve">The BSW Referral Services have gone through a period of significant change since March 2020 in response to Covid-19 and to the changing needs of the system locally and nationally. </w:t>
      </w:r>
      <w:r w:rsidRPr="00242B30">
        <w:rPr>
          <w:rFonts w:ascii="Arial" w:hAnsi="Arial" w:cs="Arial"/>
        </w:rPr>
        <w:t xml:space="preserve"> </w:t>
      </w:r>
      <w:r w:rsidRPr="00242B30">
        <w:rPr>
          <w:rFonts w:ascii="Arial" w:hAnsi="Arial" w:cs="Arial"/>
        </w:rPr>
        <w:t>We would like to thank you all as key stakeholders for your continued support during these very difficult months. We recognise that the changes we have made will have impacted how you and your teams interact with our services</w:t>
      </w:r>
      <w:r w:rsidRPr="00242B30">
        <w:rPr>
          <w:rFonts w:ascii="Arial" w:hAnsi="Arial" w:cs="Arial"/>
        </w:rPr>
        <w:t xml:space="preserve">. </w:t>
      </w:r>
    </w:p>
    <w:p w:rsidR="00C3578F" w:rsidRPr="00242B30" w:rsidRDefault="00C3578F" w:rsidP="00C3578F">
      <w:pPr>
        <w:rPr>
          <w:rFonts w:ascii="Arial" w:hAnsi="Arial" w:cs="Arial"/>
        </w:rPr>
      </w:pPr>
    </w:p>
    <w:p w:rsidR="00C3578F" w:rsidRPr="00242B30" w:rsidRDefault="00C3578F" w:rsidP="00C3578F">
      <w:pPr>
        <w:rPr>
          <w:rFonts w:ascii="Arial" w:hAnsi="Arial" w:cs="Arial"/>
        </w:rPr>
      </w:pPr>
      <w:r w:rsidRPr="00242B30">
        <w:rPr>
          <w:rFonts w:ascii="Arial" w:hAnsi="Arial" w:cs="Arial"/>
        </w:rPr>
        <w:t xml:space="preserve">This briefing update sets out some FAQs on the changes we have made including our plans for 2021/22. </w:t>
      </w:r>
      <w:r w:rsidRPr="00242B30">
        <w:rPr>
          <w:rFonts w:ascii="Arial" w:hAnsi="Arial" w:cs="Arial"/>
        </w:rPr>
        <w:t xml:space="preserve"> </w:t>
      </w:r>
    </w:p>
    <w:p w:rsidR="00C3578F" w:rsidRPr="00242B30" w:rsidRDefault="00C3578F" w:rsidP="00C3578F">
      <w:pPr>
        <w:rPr>
          <w:rFonts w:ascii="Arial" w:hAnsi="Arial" w:cs="Arial"/>
        </w:rPr>
      </w:pPr>
    </w:p>
    <w:p w:rsidR="00D14396" w:rsidRPr="00242B30" w:rsidRDefault="00C3578F"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What is the current makeup of the BSW Referral Services?</w:t>
      </w:r>
    </w:p>
    <w:p w:rsidR="006F7E41" w:rsidRPr="00242B30" w:rsidRDefault="00D14396" w:rsidP="00C3578F">
      <w:pPr>
        <w:pStyle w:val="ListParagraph"/>
        <w:numPr>
          <w:ilvl w:val="0"/>
          <w:numId w:val="38"/>
        </w:numPr>
        <w:rPr>
          <w:rFonts w:ascii="Arial" w:hAnsi="Arial" w:cs="Arial"/>
          <w:sz w:val="24"/>
          <w:szCs w:val="24"/>
        </w:rPr>
      </w:pPr>
      <w:r w:rsidRPr="00242B30">
        <w:rPr>
          <w:rFonts w:ascii="Arial" w:hAnsi="Arial" w:cs="Arial"/>
          <w:sz w:val="24"/>
          <w:szCs w:val="24"/>
        </w:rPr>
        <w:t xml:space="preserve">We currently have 4 referral services across BSW, two which are part of the CCG </w:t>
      </w:r>
      <w:r w:rsidR="006F7E41" w:rsidRPr="00242B30">
        <w:rPr>
          <w:rFonts w:ascii="Arial" w:hAnsi="Arial" w:cs="Arial"/>
          <w:sz w:val="24"/>
          <w:szCs w:val="24"/>
        </w:rPr>
        <w:t xml:space="preserve">(Swindon and Wiltshire) </w:t>
      </w:r>
      <w:r w:rsidRPr="00242B30">
        <w:rPr>
          <w:rFonts w:ascii="Arial" w:hAnsi="Arial" w:cs="Arial"/>
          <w:sz w:val="24"/>
          <w:szCs w:val="24"/>
        </w:rPr>
        <w:t>and two which belong to GP federations</w:t>
      </w:r>
      <w:r w:rsidR="006F7E41" w:rsidRPr="00242B30">
        <w:rPr>
          <w:rFonts w:ascii="Arial" w:hAnsi="Arial" w:cs="Arial"/>
          <w:sz w:val="24"/>
          <w:szCs w:val="24"/>
        </w:rPr>
        <w:t xml:space="preserve"> (SARUM and BEMS+)</w:t>
      </w:r>
      <w:r w:rsidRPr="00242B30">
        <w:rPr>
          <w:rFonts w:ascii="Arial" w:hAnsi="Arial" w:cs="Arial"/>
          <w:sz w:val="24"/>
          <w:szCs w:val="24"/>
        </w:rPr>
        <w:t xml:space="preserve">. </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 xml:space="preserve">All 4 teams work to the same standard operating procedure and are all </w:t>
      </w:r>
      <w:r w:rsidR="006F7E41" w:rsidRPr="00242B30">
        <w:rPr>
          <w:rFonts w:ascii="Arial" w:hAnsi="Arial" w:cs="Arial"/>
          <w:sz w:val="24"/>
          <w:szCs w:val="24"/>
        </w:rPr>
        <w:t xml:space="preserve">working in an agile way outside </w:t>
      </w:r>
      <w:r w:rsidRPr="00242B30">
        <w:rPr>
          <w:rFonts w:ascii="Arial" w:hAnsi="Arial" w:cs="Arial"/>
          <w:sz w:val="24"/>
          <w:szCs w:val="24"/>
        </w:rPr>
        <w:t>of an office environment.</w:t>
      </w: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What changes have been made to date?</w:t>
      </w:r>
    </w:p>
    <w:p w:rsidR="00D14396" w:rsidRPr="00242B30" w:rsidRDefault="006F7E41" w:rsidP="00D14396">
      <w:pPr>
        <w:ind w:left="360"/>
        <w:rPr>
          <w:rFonts w:ascii="Arial" w:hAnsi="Arial" w:cs="Arial"/>
        </w:rPr>
      </w:pPr>
      <w:r w:rsidRPr="00242B30">
        <w:rPr>
          <w:rFonts w:ascii="Arial" w:hAnsi="Arial" w:cs="Arial"/>
        </w:rPr>
        <w:t>I</w:t>
      </w:r>
      <w:r w:rsidR="00D14396" w:rsidRPr="00242B30">
        <w:rPr>
          <w:rFonts w:ascii="Arial" w:hAnsi="Arial" w:cs="Arial"/>
        </w:rPr>
        <w:t>n response to Covid-19 and to the changing needs of the system locally and nationally</w:t>
      </w:r>
      <w:r w:rsidRPr="00242B30">
        <w:rPr>
          <w:rFonts w:ascii="Arial" w:hAnsi="Arial" w:cs="Arial"/>
        </w:rPr>
        <w:t xml:space="preserve">, the following changes have been implemented: </w:t>
      </w:r>
    </w:p>
    <w:p w:rsidR="006F7E41" w:rsidRPr="00242B30" w:rsidRDefault="006F7E41" w:rsidP="00D14396">
      <w:pPr>
        <w:ind w:left="360"/>
        <w:rPr>
          <w:rFonts w:ascii="Arial" w:hAnsi="Arial" w:cs="Arial"/>
          <w:b/>
        </w:rPr>
      </w:pP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Moving to a merged organisation from 1 April 2020</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Transition to home/agile working</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Utilising ERS on-line booking and the national telephone booking services in place of the service being based on receiving calls from patients;</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 xml:space="preserve">Change in working process to align all four teams </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Building service resilience through mutual support between teams – sharing work as and when required</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Implementation of a light touch referral pathway for GP practices through implementing Referral Assessment Services (RAS) for all specialties</w:t>
      </w:r>
    </w:p>
    <w:p w:rsidR="00D14396" w:rsidRPr="00242B30" w:rsidRDefault="00D14396" w:rsidP="006F7E41">
      <w:pPr>
        <w:pStyle w:val="ListParagraph"/>
        <w:numPr>
          <w:ilvl w:val="0"/>
          <w:numId w:val="38"/>
        </w:numPr>
        <w:rPr>
          <w:rFonts w:ascii="Arial" w:hAnsi="Arial" w:cs="Arial"/>
          <w:sz w:val="24"/>
          <w:szCs w:val="24"/>
        </w:rPr>
      </w:pPr>
      <w:r w:rsidRPr="00242B30">
        <w:rPr>
          <w:rFonts w:ascii="Arial" w:hAnsi="Arial" w:cs="Arial"/>
          <w:sz w:val="24"/>
          <w:szCs w:val="24"/>
        </w:rPr>
        <w:t>Maximising use of the ERS system for data reporting, reducing the burden of local data capture</w:t>
      </w:r>
    </w:p>
    <w:p w:rsidR="00D14396" w:rsidRPr="00242B30" w:rsidRDefault="00D14396" w:rsidP="00D14396">
      <w:pPr>
        <w:pStyle w:val="ListParagraph"/>
        <w:rPr>
          <w:rFonts w:ascii="Arial" w:hAnsi="Arial" w:cs="Arial"/>
          <w:b/>
          <w:sz w:val="24"/>
          <w:szCs w:val="24"/>
        </w:rPr>
      </w:pP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 xml:space="preserve">What changes nationally and locally are influencing </w:t>
      </w:r>
      <w:r w:rsidR="00242B30">
        <w:rPr>
          <w:rFonts w:ascii="Arial" w:eastAsia="MS Gothic" w:hAnsi="Arial"/>
          <w:b/>
          <w:bCs/>
          <w:color w:val="005EB8"/>
        </w:rPr>
        <w:t>the</w:t>
      </w:r>
      <w:r w:rsidR="00242B30" w:rsidRPr="00242B30">
        <w:rPr>
          <w:rFonts w:ascii="Arial" w:eastAsia="MS Gothic" w:hAnsi="Arial"/>
          <w:b/>
          <w:bCs/>
          <w:color w:val="005EB8"/>
        </w:rPr>
        <w:t xml:space="preserve"> </w:t>
      </w:r>
      <w:r w:rsidR="00242B30">
        <w:rPr>
          <w:rFonts w:ascii="Arial" w:eastAsia="MS Gothic" w:hAnsi="Arial"/>
          <w:b/>
          <w:bCs/>
          <w:color w:val="005EB8"/>
        </w:rPr>
        <w:t xml:space="preserve">BSW Referral Service </w:t>
      </w:r>
      <w:r w:rsidR="00242B30" w:rsidRPr="00242B30">
        <w:rPr>
          <w:rFonts w:ascii="Arial" w:eastAsia="MS Gothic" w:hAnsi="Arial"/>
          <w:b/>
          <w:bCs/>
          <w:color w:val="005EB8"/>
        </w:rPr>
        <w:t>changes</w:t>
      </w:r>
      <w:r w:rsidRPr="00242B30">
        <w:rPr>
          <w:rFonts w:ascii="Arial" w:eastAsia="MS Gothic" w:hAnsi="Arial"/>
          <w:b/>
          <w:bCs/>
          <w:color w:val="005EB8"/>
        </w:rPr>
        <w:t>?</w:t>
      </w:r>
    </w:p>
    <w:p w:rsidR="00242B30" w:rsidRDefault="00BC62CB" w:rsidP="00242B30">
      <w:pPr>
        <w:rPr>
          <w:rFonts w:ascii="Arial" w:hAnsi="Arial" w:cs="Arial"/>
        </w:rPr>
      </w:pPr>
      <w:r>
        <w:rPr>
          <w:rFonts w:ascii="Arial" w:hAnsi="Arial" w:cs="Arial"/>
        </w:rPr>
        <w:t>O</w:t>
      </w:r>
      <w:r w:rsidR="00D14396" w:rsidRPr="00242B30">
        <w:rPr>
          <w:rFonts w:ascii="Arial" w:hAnsi="Arial" w:cs="Arial"/>
        </w:rPr>
        <w:t>ngoing local and national NHS changes</w:t>
      </w:r>
      <w:r w:rsidR="00242B30">
        <w:rPr>
          <w:rFonts w:ascii="Arial" w:hAnsi="Arial" w:cs="Arial"/>
        </w:rPr>
        <w:t xml:space="preserve"> </w:t>
      </w:r>
      <w:r>
        <w:rPr>
          <w:rFonts w:ascii="Arial" w:hAnsi="Arial" w:cs="Arial"/>
        </w:rPr>
        <w:t xml:space="preserve">are impacting on the BSW referral services, and they have to </w:t>
      </w:r>
      <w:r w:rsidR="00242B30">
        <w:rPr>
          <w:rFonts w:ascii="Arial" w:hAnsi="Arial" w:cs="Arial"/>
        </w:rPr>
        <w:t xml:space="preserve">continue to adapt </w:t>
      </w:r>
      <w:r>
        <w:rPr>
          <w:rFonts w:ascii="Arial" w:hAnsi="Arial" w:cs="Arial"/>
        </w:rPr>
        <w:t>h</w:t>
      </w:r>
      <w:r w:rsidR="00242B30">
        <w:rPr>
          <w:rFonts w:ascii="Arial" w:hAnsi="Arial" w:cs="Arial"/>
        </w:rPr>
        <w:t xml:space="preserve">ow services </w:t>
      </w:r>
      <w:r>
        <w:rPr>
          <w:rFonts w:ascii="Arial" w:hAnsi="Arial" w:cs="Arial"/>
        </w:rPr>
        <w:t xml:space="preserve">are provided. </w:t>
      </w:r>
      <w:r w:rsidR="00242B30">
        <w:rPr>
          <w:rFonts w:ascii="Arial" w:hAnsi="Arial" w:cs="Arial"/>
        </w:rPr>
        <w:t xml:space="preserve">The following </w:t>
      </w:r>
      <w:r>
        <w:rPr>
          <w:rFonts w:ascii="Arial" w:hAnsi="Arial" w:cs="Arial"/>
        </w:rPr>
        <w:t xml:space="preserve">factors will affect how services will operate in the future: </w:t>
      </w:r>
      <w:r w:rsidR="00242B30">
        <w:rPr>
          <w:rFonts w:ascii="Arial" w:hAnsi="Arial" w:cs="Arial"/>
        </w:rPr>
        <w:t xml:space="preserve"> </w:t>
      </w:r>
    </w:p>
    <w:p w:rsidR="00242B30" w:rsidRDefault="00242B30" w:rsidP="00242B30">
      <w:pPr>
        <w:rPr>
          <w:rFonts w:ascii="Arial" w:hAnsi="Arial" w:cs="Arial"/>
        </w:rPr>
      </w:pPr>
    </w:p>
    <w:p w:rsidR="00D14396" w:rsidRPr="00242B30" w:rsidRDefault="00D14396" w:rsidP="00242B30">
      <w:pPr>
        <w:pStyle w:val="ListParagraph"/>
        <w:numPr>
          <w:ilvl w:val="0"/>
          <w:numId w:val="38"/>
        </w:numPr>
        <w:rPr>
          <w:rFonts w:ascii="Arial" w:hAnsi="Arial" w:cs="Arial"/>
          <w:sz w:val="24"/>
          <w:szCs w:val="24"/>
        </w:rPr>
      </w:pPr>
      <w:r w:rsidRPr="00242B30">
        <w:rPr>
          <w:rFonts w:ascii="Arial" w:hAnsi="Arial" w:cs="Arial"/>
          <w:sz w:val="24"/>
          <w:szCs w:val="24"/>
        </w:rPr>
        <w:t>Transition from a CCG organisation to an Integrated Care System (ICS) from April 2022</w:t>
      </w:r>
    </w:p>
    <w:p w:rsidR="00D14396" w:rsidRPr="00242B30" w:rsidRDefault="00D14396" w:rsidP="00242B30">
      <w:pPr>
        <w:pStyle w:val="ListParagraph"/>
        <w:numPr>
          <w:ilvl w:val="0"/>
          <w:numId w:val="38"/>
        </w:numPr>
        <w:rPr>
          <w:rFonts w:ascii="Arial" w:hAnsi="Arial" w:cs="Arial"/>
          <w:sz w:val="24"/>
          <w:szCs w:val="24"/>
        </w:rPr>
      </w:pPr>
      <w:r w:rsidRPr="00242B30">
        <w:rPr>
          <w:rFonts w:ascii="Arial" w:hAnsi="Arial" w:cs="Arial"/>
          <w:sz w:val="24"/>
          <w:szCs w:val="24"/>
        </w:rPr>
        <w:t>Move towards agile working</w:t>
      </w:r>
    </w:p>
    <w:p w:rsidR="00D14396" w:rsidRPr="00242B30" w:rsidRDefault="00D14396" w:rsidP="00242B30">
      <w:pPr>
        <w:pStyle w:val="ListParagraph"/>
        <w:numPr>
          <w:ilvl w:val="0"/>
          <w:numId w:val="38"/>
        </w:numPr>
        <w:rPr>
          <w:rFonts w:ascii="Arial" w:hAnsi="Arial" w:cs="Arial"/>
          <w:sz w:val="24"/>
          <w:szCs w:val="24"/>
        </w:rPr>
      </w:pPr>
      <w:r w:rsidRPr="00242B30">
        <w:rPr>
          <w:rFonts w:ascii="Arial" w:hAnsi="Arial" w:cs="Arial"/>
          <w:sz w:val="24"/>
          <w:szCs w:val="24"/>
        </w:rPr>
        <w:t>Use of clinical triage at the point of receiving a referral within providers (eRS Referral Assessment Services (RASs) in Acute Trusts)</w:t>
      </w:r>
    </w:p>
    <w:p w:rsidR="00D14396" w:rsidRPr="00242B30" w:rsidRDefault="00D14396" w:rsidP="00242B30">
      <w:pPr>
        <w:pStyle w:val="ListParagraph"/>
        <w:numPr>
          <w:ilvl w:val="0"/>
          <w:numId w:val="38"/>
        </w:numPr>
        <w:rPr>
          <w:rFonts w:ascii="Arial" w:hAnsi="Arial" w:cs="Arial"/>
          <w:sz w:val="24"/>
          <w:szCs w:val="24"/>
        </w:rPr>
      </w:pPr>
      <w:r w:rsidRPr="00242B30">
        <w:rPr>
          <w:rFonts w:ascii="Arial" w:hAnsi="Arial" w:cs="Arial"/>
          <w:sz w:val="24"/>
          <w:szCs w:val="24"/>
        </w:rPr>
        <w:t>Expansion of pre-referral advice services</w:t>
      </w:r>
    </w:p>
    <w:p w:rsidR="00D14396" w:rsidRPr="00242B30" w:rsidRDefault="00D14396" w:rsidP="00242B30">
      <w:pPr>
        <w:pStyle w:val="ListParagraph"/>
        <w:numPr>
          <w:ilvl w:val="0"/>
          <w:numId w:val="38"/>
        </w:numPr>
        <w:rPr>
          <w:rFonts w:ascii="Arial" w:hAnsi="Arial" w:cs="Arial"/>
          <w:sz w:val="24"/>
          <w:szCs w:val="24"/>
        </w:rPr>
      </w:pPr>
      <w:r w:rsidRPr="00242B30">
        <w:rPr>
          <w:rFonts w:ascii="Arial" w:hAnsi="Arial" w:cs="Arial"/>
          <w:sz w:val="24"/>
          <w:szCs w:val="24"/>
        </w:rPr>
        <w:t>Improved digital access for patients</w:t>
      </w: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 xml:space="preserve">What are </w:t>
      </w:r>
      <w:r w:rsidR="00BC62CB">
        <w:rPr>
          <w:rFonts w:ascii="Arial" w:eastAsia="MS Gothic" w:hAnsi="Arial"/>
          <w:b/>
          <w:bCs/>
          <w:color w:val="005EB8"/>
        </w:rPr>
        <w:t>our</w:t>
      </w:r>
      <w:r w:rsidRPr="00242B30">
        <w:rPr>
          <w:rFonts w:ascii="Arial" w:eastAsia="MS Gothic" w:hAnsi="Arial"/>
          <w:b/>
          <w:bCs/>
          <w:color w:val="005EB8"/>
        </w:rPr>
        <w:t xml:space="preserve"> plans for the rest of </w:t>
      </w:r>
      <w:r w:rsidR="00BC62CB">
        <w:rPr>
          <w:rFonts w:ascii="Arial" w:eastAsia="MS Gothic" w:hAnsi="Arial"/>
          <w:b/>
          <w:bCs/>
          <w:color w:val="005EB8"/>
        </w:rPr>
        <w:t>this year (2021/22)</w:t>
      </w:r>
      <w:r w:rsidRPr="00242B30">
        <w:rPr>
          <w:rFonts w:ascii="Arial" w:eastAsia="MS Gothic" w:hAnsi="Arial"/>
          <w:b/>
          <w:bCs/>
          <w:color w:val="005EB8"/>
        </w:rPr>
        <w:t>?</w:t>
      </w:r>
    </w:p>
    <w:p w:rsidR="00D14396" w:rsidRPr="00242B30" w:rsidRDefault="00603935" w:rsidP="00D14396">
      <w:pPr>
        <w:rPr>
          <w:rFonts w:ascii="Arial" w:hAnsi="Arial" w:cs="Arial"/>
        </w:rPr>
      </w:pPr>
      <w:r>
        <w:rPr>
          <w:rFonts w:ascii="Arial" w:hAnsi="Arial" w:cs="Arial"/>
        </w:rPr>
        <w:t xml:space="preserve">The CCG Governing Body </w:t>
      </w:r>
      <w:r w:rsidR="00080E16">
        <w:rPr>
          <w:rFonts w:ascii="Arial" w:hAnsi="Arial" w:cs="Arial"/>
        </w:rPr>
        <w:t>has</w:t>
      </w:r>
      <w:r>
        <w:rPr>
          <w:rFonts w:ascii="Arial" w:hAnsi="Arial" w:cs="Arial"/>
        </w:rPr>
        <w:t xml:space="preserve"> agreed a further programme of work for the remainder of this year (August 2021 to March 2022). This is summarised below:  </w:t>
      </w:r>
    </w:p>
    <w:p w:rsidR="00D14396" w:rsidRPr="00242B30" w:rsidRDefault="00D14396" w:rsidP="00D14396">
      <w:pPr>
        <w:rPr>
          <w:rFonts w:ascii="Arial" w:hAnsi="Arial" w:cs="Arial"/>
        </w:rPr>
      </w:pPr>
    </w:p>
    <w:p w:rsidR="00D14396" w:rsidRPr="00242B30" w:rsidRDefault="00D14396" w:rsidP="00080E16">
      <w:pPr>
        <w:pStyle w:val="ListParagraph"/>
        <w:numPr>
          <w:ilvl w:val="1"/>
          <w:numId w:val="31"/>
        </w:numPr>
        <w:spacing w:after="200" w:line="276" w:lineRule="auto"/>
        <w:ind w:left="720"/>
        <w:rPr>
          <w:rFonts w:ascii="Arial" w:hAnsi="Arial" w:cs="Arial"/>
          <w:b/>
          <w:sz w:val="24"/>
          <w:szCs w:val="24"/>
        </w:rPr>
      </w:pPr>
      <w:r w:rsidRPr="00242B30">
        <w:rPr>
          <w:rFonts w:ascii="Arial" w:hAnsi="Arial" w:cs="Arial"/>
          <w:b/>
          <w:sz w:val="24"/>
          <w:szCs w:val="24"/>
        </w:rPr>
        <w:t>Creation of a multi-directorate cross organisational steering group to:</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Support the development of the future vision of the service</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Review the function of clinical triage within the service</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Review the long term approach to agile working for the service</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Review of the service to ensure current and ongoing functions add value to the system as a whole for the future</w:t>
      </w:r>
    </w:p>
    <w:p w:rsidR="00D14396" w:rsidRPr="00242B30" w:rsidRDefault="00D14396" w:rsidP="00080E16">
      <w:pPr>
        <w:pStyle w:val="ListParagraph"/>
        <w:spacing w:after="200" w:line="276" w:lineRule="auto"/>
        <w:rPr>
          <w:rFonts w:ascii="Arial" w:hAnsi="Arial" w:cs="Arial"/>
          <w:sz w:val="24"/>
          <w:szCs w:val="24"/>
        </w:rPr>
      </w:pPr>
    </w:p>
    <w:p w:rsidR="00D14396" w:rsidRPr="00242B30" w:rsidRDefault="00D14396" w:rsidP="00080E16">
      <w:pPr>
        <w:pStyle w:val="ListParagraph"/>
        <w:numPr>
          <w:ilvl w:val="1"/>
          <w:numId w:val="31"/>
        </w:numPr>
        <w:spacing w:after="200" w:line="276" w:lineRule="auto"/>
        <w:ind w:left="720"/>
        <w:rPr>
          <w:rFonts w:ascii="Arial" w:hAnsi="Arial" w:cs="Arial"/>
          <w:b/>
          <w:sz w:val="24"/>
          <w:szCs w:val="24"/>
        </w:rPr>
      </w:pPr>
      <w:r w:rsidRPr="00242B30">
        <w:rPr>
          <w:rFonts w:ascii="Arial" w:hAnsi="Arial" w:cs="Arial"/>
          <w:b/>
          <w:sz w:val="24"/>
          <w:szCs w:val="24"/>
        </w:rPr>
        <w:lastRenderedPageBreak/>
        <w:t>Preparations for in-housing the BEMS RSS team working in the BaNES area, to become part of the CCG Referral Services from April 2022</w:t>
      </w:r>
    </w:p>
    <w:p w:rsidR="00D14396" w:rsidRPr="00242B30" w:rsidRDefault="00D14396" w:rsidP="00080E16">
      <w:pPr>
        <w:pStyle w:val="ListParagraph"/>
        <w:spacing w:after="200" w:line="276" w:lineRule="auto"/>
        <w:ind w:left="0"/>
        <w:rPr>
          <w:rFonts w:ascii="Arial" w:hAnsi="Arial" w:cs="Arial"/>
          <w:b/>
          <w:sz w:val="24"/>
          <w:szCs w:val="24"/>
        </w:rPr>
      </w:pPr>
    </w:p>
    <w:p w:rsidR="00D14396" w:rsidRPr="00242B30" w:rsidRDefault="00D14396" w:rsidP="00080E16">
      <w:pPr>
        <w:pStyle w:val="ListParagraph"/>
        <w:numPr>
          <w:ilvl w:val="1"/>
          <w:numId w:val="31"/>
        </w:numPr>
        <w:spacing w:after="200" w:line="276" w:lineRule="auto"/>
        <w:ind w:left="720"/>
        <w:rPr>
          <w:rFonts w:ascii="Arial" w:hAnsi="Arial" w:cs="Arial"/>
          <w:b/>
          <w:sz w:val="24"/>
          <w:szCs w:val="24"/>
        </w:rPr>
      </w:pPr>
      <w:r w:rsidRPr="00242B30">
        <w:rPr>
          <w:rFonts w:ascii="Arial" w:hAnsi="Arial" w:cs="Arial"/>
          <w:b/>
          <w:sz w:val="24"/>
          <w:szCs w:val="24"/>
        </w:rPr>
        <w:t>Engagement with providers regarding integrated working to provide additional functions such as:</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Supporting the patient journey from referral to treatment and beyond</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Advice and Guidance monitoring and support</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Supporting patient communication along the whole patient pathway</w:t>
      </w:r>
    </w:p>
    <w:p w:rsidR="00D14396" w:rsidRPr="00242B30" w:rsidRDefault="00D14396" w:rsidP="00080E16">
      <w:pPr>
        <w:pStyle w:val="ListParagraph"/>
        <w:numPr>
          <w:ilvl w:val="1"/>
          <w:numId w:val="39"/>
        </w:numPr>
        <w:rPr>
          <w:rFonts w:ascii="Arial" w:hAnsi="Arial" w:cs="Arial"/>
          <w:sz w:val="24"/>
          <w:szCs w:val="24"/>
        </w:rPr>
      </w:pPr>
      <w:r w:rsidRPr="00242B30">
        <w:rPr>
          <w:rFonts w:ascii="Arial" w:hAnsi="Arial" w:cs="Arial"/>
          <w:sz w:val="24"/>
          <w:szCs w:val="24"/>
        </w:rPr>
        <w:t>Supporting eRS navigation</w:t>
      </w: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 xml:space="preserve">What </w:t>
      </w:r>
      <w:r w:rsidR="00617642">
        <w:rPr>
          <w:rFonts w:ascii="Arial" w:eastAsia="MS Gothic" w:hAnsi="Arial"/>
          <w:b/>
          <w:bCs/>
          <w:color w:val="005EB8"/>
        </w:rPr>
        <w:t xml:space="preserve">will </w:t>
      </w:r>
      <w:r w:rsidR="005D7E7B">
        <w:rPr>
          <w:rFonts w:ascii="Arial" w:eastAsia="MS Gothic" w:hAnsi="Arial"/>
          <w:b/>
          <w:bCs/>
          <w:color w:val="005EB8"/>
        </w:rPr>
        <w:t xml:space="preserve">this programme of work mean for you are referrers in primary care? </w:t>
      </w:r>
    </w:p>
    <w:p w:rsidR="005D7E7B" w:rsidRPr="005D7E7B" w:rsidRDefault="005D7E7B" w:rsidP="005D7E7B">
      <w:pPr>
        <w:pStyle w:val="ListParagraph"/>
        <w:numPr>
          <w:ilvl w:val="0"/>
          <w:numId w:val="38"/>
        </w:numPr>
        <w:rPr>
          <w:rFonts w:ascii="Arial" w:hAnsi="Arial" w:cs="Arial"/>
          <w:sz w:val="24"/>
          <w:szCs w:val="24"/>
        </w:rPr>
      </w:pPr>
      <w:r w:rsidRPr="005D7E7B">
        <w:rPr>
          <w:rFonts w:ascii="Arial" w:hAnsi="Arial" w:cs="Arial"/>
          <w:sz w:val="24"/>
          <w:szCs w:val="24"/>
        </w:rPr>
        <w:t xml:space="preserve">The </w:t>
      </w:r>
      <w:r w:rsidR="00617642">
        <w:rPr>
          <w:rFonts w:ascii="Arial" w:hAnsi="Arial" w:cs="Arial"/>
          <w:sz w:val="24"/>
          <w:szCs w:val="24"/>
        </w:rPr>
        <w:t xml:space="preserve">planned </w:t>
      </w:r>
      <w:r w:rsidRPr="005D7E7B">
        <w:rPr>
          <w:rFonts w:ascii="Arial" w:hAnsi="Arial" w:cs="Arial"/>
          <w:sz w:val="24"/>
          <w:szCs w:val="24"/>
        </w:rPr>
        <w:t>programme of work will not impact</w:t>
      </w:r>
      <w:r w:rsidR="00FD4C90">
        <w:rPr>
          <w:rFonts w:ascii="Arial" w:hAnsi="Arial" w:cs="Arial"/>
          <w:sz w:val="24"/>
          <w:szCs w:val="24"/>
        </w:rPr>
        <w:t xml:space="preserve"> on</w:t>
      </w:r>
      <w:r w:rsidRPr="005D7E7B">
        <w:rPr>
          <w:rFonts w:ascii="Arial" w:hAnsi="Arial" w:cs="Arial"/>
          <w:sz w:val="24"/>
          <w:szCs w:val="24"/>
        </w:rPr>
        <w:t xml:space="preserve"> the way </w:t>
      </w:r>
      <w:r w:rsidR="00FD4C90">
        <w:rPr>
          <w:rFonts w:ascii="Arial" w:hAnsi="Arial" w:cs="Arial"/>
          <w:sz w:val="24"/>
          <w:szCs w:val="24"/>
        </w:rPr>
        <w:t xml:space="preserve">that </w:t>
      </w:r>
      <w:r w:rsidRPr="005D7E7B">
        <w:rPr>
          <w:rFonts w:ascii="Arial" w:hAnsi="Arial" w:cs="Arial"/>
          <w:sz w:val="24"/>
          <w:szCs w:val="24"/>
        </w:rPr>
        <w:t xml:space="preserve">you refer into the BSW referral services. </w:t>
      </w:r>
    </w:p>
    <w:p w:rsidR="005D7E7B" w:rsidRPr="00242B30" w:rsidRDefault="005D7E7B" w:rsidP="005D7E7B">
      <w:pPr>
        <w:pStyle w:val="ListParagraph"/>
        <w:numPr>
          <w:ilvl w:val="0"/>
          <w:numId w:val="38"/>
        </w:numPr>
        <w:rPr>
          <w:rFonts w:ascii="Arial" w:hAnsi="Arial" w:cs="Arial"/>
          <w:sz w:val="24"/>
          <w:szCs w:val="24"/>
        </w:rPr>
      </w:pPr>
      <w:r w:rsidRPr="00242B30">
        <w:rPr>
          <w:rFonts w:ascii="Arial" w:hAnsi="Arial" w:cs="Arial"/>
          <w:sz w:val="24"/>
          <w:szCs w:val="24"/>
        </w:rPr>
        <w:t>We will</w:t>
      </w:r>
      <w:r>
        <w:rPr>
          <w:rFonts w:ascii="Arial" w:hAnsi="Arial" w:cs="Arial"/>
          <w:sz w:val="24"/>
          <w:szCs w:val="24"/>
        </w:rPr>
        <w:t xml:space="preserve"> </w:t>
      </w:r>
      <w:r w:rsidR="00FD4C90">
        <w:rPr>
          <w:rFonts w:ascii="Arial" w:hAnsi="Arial" w:cs="Arial"/>
          <w:sz w:val="24"/>
          <w:szCs w:val="24"/>
        </w:rPr>
        <w:t xml:space="preserve">continue to </w:t>
      </w:r>
      <w:r w:rsidRPr="00242B30">
        <w:rPr>
          <w:rFonts w:ascii="Arial" w:hAnsi="Arial" w:cs="Arial"/>
          <w:sz w:val="24"/>
          <w:szCs w:val="24"/>
        </w:rPr>
        <w:t xml:space="preserve">retain our 4 teams to support </w:t>
      </w:r>
      <w:r w:rsidR="00FD4C90">
        <w:rPr>
          <w:rFonts w:ascii="Arial" w:hAnsi="Arial" w:cs="Arial"/>
          <w:sz w:val="24"/>
          <w:szCs w:val="24"/>
        </w:rPr>
        <w:t>each of our locality areas as we recognise the importance of local knowledge at place.</w:t>
      </w: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 xml:space="preserve">What are </w:t>
      </w:r>
      <w:r w:rsidR="004D4258">
        <w:rPr>
          <w:rFonts w:ascii="Arial" w:eastAsia="MS Gothic" w:hAnsi="Arial"/>
          <w:b/>
          <w:bCs/>
          <w:color w:val="005EB8"/>
        </w:rPr>
        <w:t>the</w:t>
      </w:r>
      <w:r w:rsidRPr="00242B30">
        <w:rPr>
          <w:rFonts w:ascii="Arial" w:eastAsia="MS Gothic" w:hAnsi="Arial"/>
          <w:b/>
          <w:bCs/>
          <w:color w:val="005EB8"/>
        </w:rPr>
        <w:t xml:space="preserve"> plans for </w:t>
      </w:r>
      <w:r w:rsidR="00FD4C90">
        <w:rPr>
          <w:rFonts w:ascii="Arial" w:eastAsia="MS Gothic" w:hAnsi="Arial"/>
          <w:b/>
          <w:bCs/>
          <w:color w:val="005EB8"/>
        </w:rPr>
        <w:t xml:space="preserve">the BSW </w:t>
      </w:r>
      <w:r w:rsidRPr="00242B30">
        <w:rPr>
          <w:rFonts w:ascii="Arial" w:eastAsia="MS Gothic" w:hAnsi="Arial"/>
          <w:b/>
          <w:bCs/>
          <w:color w:val="005EB8"/>
        </w:rPr>
        <w:t xml:space="preserve">Referral Services from </w:t>
      </w:r>
      <w:r w:rsidR="00FD4C90">
        <w:rPr>
          <w:rFonts w:ascii="Arial" w:eastAsia="MS Gothic" w:hAnsi="Arial"/>
          <w:b/>
          <w:bCs/>
          <w:color w:val="005EB8"/>
        </w:rPr>
        <w:t xml:space="preserve">April </w:t>
      </w:r>
      <w:r w:rsidRPr="00242B30">
        <w:rPr>
          <w:rFonts w:ascii="Arial" w:eastAsia="MS Gothic" w:hAnsi="Arial"/>
          <w:b/>
          <w:bCs/>
          <w:color w:val="005EB8"/>
        </w:rPr>
        <w:t>2022 onwards?</w:t>
      </w:r>
    </w:p>
    <w:p w:rsidR="00D14396" w:rsidRPr="00E27C35" w:rsidRDefault="00E27C35" w:rsidP="00E27C35">
      <w:pPr>
        <w:pStyle w:val="ListParagraph"/>
        <w:numPr>
          <w:ilvl w:val="0"/>
          <w:numId w:val="38"/>
        </w:numPr>
        <w:rPr>
          <w:rFonts w:ascii="Arial" w:hAnsi="Arial" w:cs="Arial"/>
          <w:sz w:val="24"/>
          <w:szCs w:val="24"/>
        </w:rPr>
      </w:pPr>
      <w:r w:rsidRPr="00E27C35">
        <w:rPr>
          <w:rFonts w:ascii="Arial" w:hAnsi="Arial" w:cs="Arial"/>
          <w:sz w:val="24"/>
          <w:szCs w:val="24"/>
        </w:rPr>
        <w:t xml:space="preserve">The </w:t>
      </w:r>
      <w:r w:rsidR="00D14396" w:rsidRPr="00E27C35">
        <w:rPr>
          <w:rFonts w:ascii="Arial" w:hAnsi="Arial" w:cs="Arial"/>
          <w:sz w:val="24"/>
          <w:szCs w:val="24"/>
        </w:rPr>
        <w:t>next steps from April 2022 will be informed by the development of the BSW ICS and the outcome of the areas of work outlined above</w:t>
      </w:r>
      <w:r>
        <w:rPr>
          <w:rFonts w:ascii="Arial" w:hAnsi="Arial" w:cs="Arial"/>
          <w:sz w:val="24"/>
          <w:szCs w:val="24"/>
        </w:rPr>
        <w:t>.</w:t>
      </w:r>
    </w:p>
    <w:p w:rsidR="00D14396" w:rsidRPr="00242B30" w:rsidRDefault="00D14396" w:rsidP="00D14396">
      <w:pPr>
        <w:rPr>
          <w:rFonts w:ascii="Arial" w:hAnsi="Arial" w:cs="Arial"/>
        </w:rPr>
      </w:pP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 xml:space="preserve">Who will be involved in </w:t>
      </w:r>
      <w:r w:rsidR="004D4258">
        <w:rPr>
          <w:rFonts w:ascii="Arial" w:eastAsia="MS Gothic" w:hAnsi="Arial"/>
          <w:b/>
          <w:bCs/>
          <w:color w:val="005EB8"/>
        </w:rPr>
        <w:t>our planned programme of</w:t>
      </w:r>
      <w:r w:rsidRPr="00242B30">
        <w:rPr>
          <w:rFonts w:ascii="Arial" w:eastAsia="MS Gothic" w:hAnsi="Arial"/>
          <w:b/>
          <w:bCs/>
          <w:color w:val="005EB8"/>
        </w:rPr>
        <w:t xml:space="preserve"> work from Primary Care?</w:t>
      </w:r>
    </w:p>
    <w:p w:rsidR="00D14396" w:rsidRDefault="00D14396" w:rsidP="00D14396">
      <w:pPr>
        <w:rPr>
          <w:rFonts w:ascii="Arial" w:hAnsi="Arial" w:cs="Arial"/>
        </w:rPr>
      </w:pPr>
      <w:r w:rsidRPr="00242B30">
        <w:rPr>
          <w:rFonts w:ascii="Arial" w:hAnsi="Arial" w:cs="Arial"/>
        </w:rPr>
        <w:t>We value your input into this work and there will be the opportunity for you to contribute through your GP colleagues below who will be working with us as part of the RSS steering group:</w:t>
      </w:r>
    </w:p>
    <w:p w:rsidR="004D4258" w:rsidRPr="00242B30" w:rsidRDefault="004D4258" w:rsidP="00D14396">
      <w:pPr>
        <w:rPr>
          <w:rFonts w:ascii="Arial" w:hAnsi="Arial" w:cs="Arial"/>
        </w:rPr>
      </w:pPr>
    </w:p>
    <w:p w:rsidR="00D14396" w:rsidRPr="00242B30" w:rsidRDefault="00D14396" w:rsidP="00D14396">
      <w:pPr>
        <w:pStyle w:val="ListParagraph"/>
        <w:numPr>
          <w:ilvl w:val="0"/>
          <w:numId w:val="34"/>
        </w:numPr>
        <w:rPr>
          <w:rFonts w:ascii="Arial" w:hAnsi="Arial" w:cs="Arial"/>
          <w:sz w:val="24"/>
          <w:szCs w:val="24"/>
        </w:rPr>
      </w:pPr>
      <w:r w:rsidRPr="00242B30">
        <w:rPr>
          <w:rFonts w:ascii="Arial" w:hAnsi="Arial" w:cs="Arial"/>
          <w:sz w:val="24"/>
          <w:szCs w:val="24"/>
        </w:rPr>
        <w:t xml:space="preserve">Sam Dominey </w:t>
      </w:r>
      <w:hyperlink r:id="rId8" w:history="1">
        <w:r w:rsidRPr="00242B30">
          <w:rPr>
            <w:rStyle w:val="Hyperlink"/>
            <w:rFonts w:ascii="Arial" w:hAnsi="Arial" w:cs="Arial"/>
            <w:sz w:val="24"/>
            <w:szCs w:val="24"/>
          </w:rPr>
          <w:t>sam.dominey@nhs.net</w:t>
        </w:r>
      </w:hyperlink>
      <w:r w:rsidRPr="00242B30">
        <w:rPr>
          <w:rFonts w:ascii="Arial" w:hAnsi="Arial" w:cs="Arial"/>
          <w:sz w:val="24"/>
          <w:szCs w:val="24"/>
        </w:rPr>
        <w:t xml:space="preserve"> </w:t>
      </w:r>
    </w:p>
    <w:p w:rsidR="00D14396" w:rsidRPr="00242B30" w:rsidRDefault="00D14396" w:rsidP="00D14396">
      <w:pPr>
        <w:pStyle w:val="ListParagraph"/>
        <w:numPr>
          <w:ilvl w:val="0"/>
          <w:numId w:val="34"/>
        </w:numPr>
        <w:rPr>
          <w:rFonts w:ascii="Arial" w:hAnsi="Arial" w:cs="Arial"/>
          <w:sz w:val="24"/>
          <w:szCs w:val="24"/>
        </w:rPr>
      </w:pPr>
      <w:r w:rsidRPr="00242B30">
        <w:rPr>
          <w:rFonts w:ascii="Arial" w:hAnsi="Arial" w:cs="Arial"/>
          <w:sz w:val="24"/>
          <w:szCs w:val="24"/>
        </w:rPr>
        <w:t xml:space="preserve">Nick Ware </w:t>
      </w:r>
      <w:hyperlink r:id="rId9" w:history="1">
        <w:r w:rsidRPr="00242B30">
          <w:rPr>
            <w:rStyle w:val="Hyperlink"/>
            <w:rFonts w:ascii="Arial" w:hAnsi="Arial" w:cs="Arial"/>
            <w:sz w:val="24"/>
            <w:szCs w:val="24"/>
          </w:rPr>
          <w:t>nick.ware@nhs.net</w:t>
        </w:r>
      </w:hyperlink>
      <w:r w:rsidRPr="00242B30">
        <w:rPr>
          <w:rFonts w:ascii="Arial" w:hAnsi="Arial" w:cs="Arial"/>
          <w:sz w:val="24"/>
          <w:szCs w:val="24"/>
        </w:rPr>
        <w:t xml:space="preserve"> </w:t>
      </w:r>
    </w:p>
    <w:p w:rsidR="00D14396" w:rsidRPr="00242B30" w:rsidRDefault="00D14396" w:rsidP="00D14396">
      <w:pPr>
        <w:pStyle w:val="ListParagraph"/>
        <w:numPr>
          <w:ilvl w:val="0"/>
          <w:numId w:val="34"/>
        </w:numPr>
        <w:rPr>
          <w:rFonts w:ascii="Arial" w:hAnsi="Arial" w:cs="Arial"/>
          <w:sz w:val="24"/>
          <w:szCs w:val="24"/>
        </w:rPr>
      </w:pPr>
      <w:r w:rsidRPr="00242B30">
        <w:rPr>
          <w:rFonts w:ascii="Arial" w:hAnsi="Arial" w:cs="Arial"/>
          <w:sz w:val="24"/>
          <w:szCs w:val="24"/>
        </w:rPr>
        <w:t xml:space="preserve">Catrinel Wright </w:t>
      </w:r>
      <w:hyperlink r:id="rId10" w:history="1">
        <w:r w:rsidRPr="00242B30">
          <w:rPr>
            <w:rStyle w:val="Hyperlink"/>
            <w:rFonts w:ascii="Arial" w:hAnsi="Arial" w:cs="Arial"/>
            <w:sz w:val="24"/>
            <w:szCs w:val="24"/>
          </w:rPr>
          <w:t>catrinelwright@nhs.net</w:t>
        </w:r>
      </w:hyperlink>
      <w:r w:rsidRPr="00242B30">
        <w:rPr>
          <w:rFonts w:ascii="Arial" w:hAnsi="Arial" w:cs="Arial"/>
          <w:sz w:val="24"/>
          <w:szCs w:val="24"/>
        </w:rPr>
        <w:t xml:space="preserve"> </w:t>
      </w:r>
    </w:p>
    <w:p w:rsidR="00D14396" w:rsidRPr="00242B30" w:rsidRDefault="00D14396" w:rsidP="00D14396">
      <w:pPr>
        <w:pStyle w:val="ListParagraph"/>
        <w:numPr>
          <w:ilvl w:val="0"/>
          <w:numId w:val="34"/>
        </w:numPr>
        <w:rPr>
          <w:rFonts w:ascii="Arial" w:hAnsi="Arial" w:cs="Arial"/>
          <w:sz w:val="24"/>
          <w:szCs w:val="24"/>
        </w:rPr>
      </w:pPr>
      <w:r w:rsidRPr="00242B30">
        <w:rPr>
          <w:rFonts w:ascii="Arial" w:hAnsi="Arial" w:cs="Arial"/>
          <w:sz w:val="24"/>
          <w:szCs w:val="24"/>
        </w:rPr>
        <w:t xml:space="preserve">Louise Abson </w:t>
      </w:r>
      <w:hyperlink r:id="rId11" w:history="1">
        <w:r w:rsidRPr="00242B30">
          <w:rPr>
            <w:rStyle w:val="Hyperlink"/>
            <w:rFonts w:ascii="Arial" w:hAnsi="Arial" w:cs="Arial"/>
            <w:sz w:val="24"/>
            <w:szCs w:val="24"/>
          </w:rPr>
          <w:t>louise.abson@nhs.net</w:t>
        </w:r>
      </w:hyperlink>
      <w:r w:rsidRPr="00242B30">
        <w:rPr>
          <w:rFonts w:ascii="Arial" w:hAnsi="Arial" w:cs="Arial"/>
          <w:sz w:val="24"/>
          <w:szCs w:val="24"/>
        </w:rPr>
        <w:t xml:space="preserve"> </w:t>
      </w:r>
    </w:p>
    <w:p w:rsidR="00D14396" w:rsidRPr="00242B30" w:rsidRDefault="00D14396" w:rsidP="00D14396">
      <w:pPr>
        <w:pStyle w:val="ListParagraph"/>
        <w:numPr>
          <w:ilvl w:val="0"/>
          <w:numId w:val="34"/>
        </w:numPr>
        <w:rPr>
          <w:rFonts w:ascii="Arial" w:hAnsi="Arial" w:cs="Arial"/>
          <w:sz w:val="24"/>
          <w:szCs w:val="24"/>
        </w:rPr>
      </w:pPr>
      <w:r w:rsidRPr="00242B30">
        <w:rPr>
          <w:rFonts w:ascii="Arial" w:hAnsi="Arial" w:cs="Arial"/>
          <w:sz w:val="24"/>
          <w:szCs w:val="24"/>
        </w:rPr>
        <w:t xml:space="preserve">Nima Satish </w:t>
      </w:r>
      <w:hyperlink r:id="rId12" w:history="1">
        <w:r w:rsidRPr="00242B30">
          <w:rPr>
            <w:rStyle w:val="Hyperlink"/>
            <w:rFonts w:ascii="Arial" w:hAnsi="Arial" w:cs="Arial"/>
            <w:sz w:val="24"/>
            <w:szCs w:val="24"/>
          </w:rPr>
          <w:t>n.satish@nhs.net</w:t>
        </w:r>
      </w:hyperlink>
      <w:r w:rsidRPr="00242B30">
        <w:rPr>
          <w:rFonts w:ascii="Arial" w:hAnsi="Arial" w:cs="Arial"/>
          <w:sz w:val="24"/>
          <w:szCs w:val="24"/>
        </w:rPr>
        <w:t xml:space="preserve"> </w:t>
      </w:r>
    </w:p>
    <w:p w:rsidR="00D14396" w:rsidRPr="00242B30" w:rsidRDefault="00D14396" w:rsidP="00D14396">
      <w:pPr>
        <w:rPr>
          <w:rFonts w:ascii="Arial" w:hAnsi="Arial" w:cs="Arial"/>
        </w:rPr>
      </w:pPr>
    </w:p>
    <w:p w:rsidR="00D14396" w:rsidRPr="00242B30" w:rsidRDefault="00D14396" w:rsidP="00C3578F">
      <w:pPr>
        <w:keepNext/>
        <w:keepLines/>
        <w:numPr>
          <w:ilvl w:val="0"/>
          <w:numId w:val="30"/>
        </w:numPr>
        <w:spacing w:after="240" w:line="240" w:lineRule="auto"/>
        <w:outlineLvl w:val="0"/>
        <w:rPr>
          <w:rFonts w:ascii="Arial" w:eastAsia="MS Gothic" w:hAnsi="Arial"/>
          <w:b/>
          <w:bCs/>
          <w:color w:val="005EB8"/>
        </w:rPr>
      </w:pPr>
      <w:r w:rsidRPr="00242B30">
        <w:rPr>
          <w:rFonts w:ascii="Arial" w:eastAsia="MS Gothic" w:hAnsi="Arial"/>
          <w:b/>
          <w:bCs/>
          <w:color w:val="005EB8"/>
        </w:rPr>
        <w:t>Who can I contact if I have any queries or concerns?</w:t>
      </w:r>
    </w:p>
    <w:p w:rsidR="00D14396" w:rsidRPr="00242B30" w:rsidRDefault="00D14396" w:rsidP="004D4258">
      <w:pPr>
        <w:rPr>
          <w:rFonts w:ascii="Arial" w:hAnsi="Arial" w:cs="Arial"/>
          <w:b/>
        </w:rPr>
      </w:pPr>
      <w:r w:rsidRPr="004D4258">
        <w:rPr>
          <w:rFonts w:ascii="Arial" w:hAnsi="Arial" w:cs="Arial"/>
        </w:rPr>
        <w:t>If you have any queries or concerns, please contact</w:t>
      </w:r>
      <w:r w:rsidRPr="00242B30">
        <w:rPr>
          <w:rFonts w:ascii="Arial" w:hAnsi="Arial" w:cs="Arial"/>
          <w:b/>
        </w:rPr>
        <w:t>:</w:t>
      </w:r>
    </w:p>
    <w:p w:rsidR="00D14396" w:rsidRPr="004D4258" w:rsidRDefault="00D14396" w:rsidP="004D4258">
      <w:pPr>
        <w:pStyle w:val="ListParagraph"/>
        <w:numPr>
          <w:ilvl w:val="0"/>
          <w:numId w:val="34"/>
        </w:numPr>
        <w:rPr>
          <w:rFonts w:ascii="Arial" w:hAnsi="Arial" w:cs="Arial"/>
          <w:sz w:val="24"/>
          <w:szCs w:val="24"/>
          <w:u w:val="single"/>
        </w:rPr>
      </w:pPr>
      <w:r w:rsidRPr="00242B30">
        <w:rPr>
          <w:rFonts w:ascii="Arial" w:hAnsi="Arial" w:cs="Arial"/>
          <w:sz w:val="24"/>
          <w:szCs w:val="24"/>
        </w:rPr>
        <w:t xml:space="preserve">Lucie Owens, Senior Commissioning Manager, </w:t>
      </w:r>
      <w:hyperlink r:id="rId13" w:history="1">
        <w:r w:rsidRPr="004D4258">
          <w:rPr>
            <w:rFonts w:ascii="Arial" w:hAnsi="Arial" w:cs="Arial"/>
            <w:sz w:val="24"/>
            <w:szCs w:val="24"/>
            <w:u w:val="single"/>
          </w:rPr>
          <w:t>lucieowens@nhs.net</w:t>
        </w:r>
      </w:hyperlink>
      <w:r w:rsidRPr="004D4258">
        <w:rPr>
          <w:rFonts w:ascii="Arial" w:hAnsi="Arial" w:cs="Arial"/>
          <w:sz w:val="24"/>
          <w:szCs w:val="24"/>
          <w:u w:val="single"/>
        </w:rPr>
        <w:t xml:space="preserve"> </w:t>
      </w:r>
    </w:p>
    <w:p w:rsidR="00D14396" w:rsidRPr="004D4258" w:rsidRDefault="00D14396" w:rsidP="004D4258">
      <w:pPr>
        <w:pStyle w:val="ListParagraph"/>
        <w:numPr>
          <w:ilvl w:val="0"/>
          <w:numId w:val="34"/>
        </w:numPr>
        <w:rPr>
          <w:rFonts w:ascii="Arial" w:hAnsi="Arial" w:cs="Arial"/>
          <w:sz w:val="24"/>
          <w:szCs w:val="24"/>
          <w:u w:val="single"/>
        </w:rPr>
      </w:pPr>
      <w:r w:rsidRPr="00242B30">
        <w:rPr>
          <w:rFonts w:ascii="Arial" w:hAnsi="Arial" w:cs="Arial"/>
          <w:sz w:val="24"/>
          <w:szCs w:val="24"/>
        </w:rPr>
        <w:t>Amber House, Service Redesign Manager</w:t>
      </w:r>
      <w:r w:rsidRPr="004D4258">
        <w:rPr>
          <w:rFonts w:ascii="Arial" w:hAnsi="Arial" w:cs="Arial"/>
          <w:sz w:val="24"/>
          <w:szCs w:val="24"/>
        </w:rPr>
        <w:t xml:space="preserve">, </w:t>
      </w:r>
      <w:hyperlink r:id="rId14" w:history="1">
        <w:r w:rsidRPr="004D4258">
          <w:rPr>
            <w:rFonts w:ascii="Arial" w:hAnsi="Arial" w:cs="Arial"/>
            <w:sz w:val="24"/>
            <w:szCs w:val="24"/>
            <w:u w:val="single"/>
          </w:rPr>
          <w:t>amberhouse@nhs.net</w:t>
        </w:r>
      </w:hyperlink>
      <w:r w:rsidRPr="004D4258">
        <w:rPr>
          <w:rFonts w:ascii="Arial" w:hAnsi="Arial" w:cs="Arial"/>
          <w:sz w:val="24"/>
          <w:szCs w:val="24"/>
          <w:u w:val="single"/>
        </w:rPr>
        <w:t xml:space="preserve"> </w:t>
      </w:r>
    </w:p>
    <w:p w:rsidR="00D14396" w:rsidRPr="00242B30" w:rsidRDefault="00D14396" w:rsidP="00D14396">
      <w:pPr>
        <w:rPr>
          <w:rFonts w:ascii="Arial" w:hAnsi="Arial" w:cs="Arial"/>
        </w:rPr>
      </w:pPr>
    </w:p>
    <w:p w:rsidR="00AD444F" w:rsidRPr="00242B30" w:rsidRDefault="00AD444F" w:rsidP="00D14396">
      <w:r w:rsidRPr="00242B30">
        <w:br w:type="page"/>
      </w:r>
      <w:bookmarkStart w:id="0" w:name="_GoBack"/>
      <w:bookmarkEnd w:id="0"/>
    </w:p>
    <w:p w:rsidR="001255F8" w:rsidRPr="00347050" w:rsidRDefault="001255F8" w:rsidP="00347050"/>
    <w:sectPr w:rsidR="001255F8" w:rsidRPr="00347050" w:rsidSect="00191E34">
      <w:footerReference w:type="even" r:id="rId15"/>
      <w:footerReference w:type="default" r:id="rId16"/>
      <w:headerReference w:type="first" r:id="rId17"/>
      <w:footerReference w:type="first" r:id="rId18"/>
      <w:pgSz w:w="11906" w:h="16838" w:code="9"/>
      <w:pgMar w:top="1985" w:right="1191" w:bottom="1191" w:left="1191"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E2" w:rsidRDefault="00F44CE2" w:rsidP="00190426">
      <w:pPr>
        <w:spacing w:line="240" w:lineRule="auto"/>
      </w:pPr>
      <w:r>
        <w:separator/>
      </w:r>
    </w:p>
  </w:endnote>
  <w:endnote w:type="continuationSeparator" w:id="0">
    <w:p w:rsidR="00F44CE2" w:rsidRDefault="00F44CE2"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4" w:rsidRDefault="00191E34" w:rsidP="00191E34">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4D4258">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4D4258">
          <w:rPr>
            <w:rFonts w:ascii="Arial" w:hAnsi="Arial" w:cs="Arial"/>
            <w:b/>
            <w:bCs/>
            <w:noProof/>
            <w:szCs w:val="18"/>
          </w:rPr>
          <w:t>4</w:t>
        </w:r>
        <w:r>
          <w:rPr>
            <w:rFonts w:ascii="Arial" w:hAnsi="Arial" w:cs="Arial"/>
            <w:b/>
            <w:bCs/>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F8" w:rsidRPr="00F75471" w:rsidRDefault="00CE2CAF" w:rsidP="00CE2CAF">
    <w:pPr>
      <w:pStyle w:val="Footer"/>
    </w:pPr>
    <w:r>
      <w:tab/>
    </w:r>
    <w:r>
      <w:tab/>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4D4258">
      <w:rPr>
        <w:rStyle w:val="PageNumber"/>
        <w:noProof/>
      </w:rPr>
      <w:t>3</w:t>
    </w:r>
    <w:r w:rsidRPr="00F754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F8" w:rsidRDefault="001255F8">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pPr>
    <w:r>
      <w:rPr>
        <w:noProof/>
        <w:lang w:eastAsia="en-GB"/>
      </w:rPr>
      <w:drawing>
        <wp:anchor distT="0" distB="0" distL="114300" distR="114300" simplePos="0" relativeHeight="251659264" behindDoc="1" locked="1" layoutInCell="1" allowOverlap="1" wp14:anchorId="005D83B6" wp14:editId="75B31114">
          <wp:simplePos x="723481" y="8611437"/>
          <wp:positionH relativeFrom="page">
            <wp:align>left</wp:align>
          </wp:positionH>
          <wp:positionV relativeFrom="page">
            <wp:align>bottom</wp:align>
          </wp:positionV>
          <wp:extent cx="7560000" cy="216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Footer Graph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E2" w:rsidRDefault="00F44CE2" w:rsidP="00190426">
      <w:pPr>
        <w:spacing w:line="240" w:lineRule="auto"/>
      </w:pPr>
      <w:r>
        <w:separator/>
      </w:r>
    </w:p>
  </w:footnote>
  <w:footnote w:type="continuationSeparator" w:id="0">
    <w:p w:rsidR="00F44CE2" w:rsidRDefault="00F44CE2"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96" w:rsidRDefault="00FE0996" w:rsidP="00FE0996">
    <w:pPr>
      <w:pStyle w:val="Header"/>
    </w:pPr>
    <w:r>
      <w:rPr>
        <w:noProof/>
        <w:lang w:eastAsia="en-GB"/>
      </w:rPr>
      <w:drawing>
        <wp:anchor distT="0" distB="0" distL="114300" distR="114300" simplePos="0" relativeHeight="251658240" behindDoc="1" locked="1" layoutInCell="1" allowOverlap="1" wp14:anchorId="0EF61D48" wp14:editId="7180F552">
          <wp:simplePos x="0" y="0"/>
          <wp:positionH relativeFrom="page">
            <wp:posOffset>5524500</wp:posOffset>
          </wp:positionH>
          <wp:positionV relativeFrom="page">
            <wp:posOffset>97155</wp:posOffset>
          </wp:positionV>
          <wp:extent cx="1943100" cy="85725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1943100" cy="857250"/>
                  </a:xfrm>
                  <a:prstGeom prst="rect">
                    <a:avLst/>
                  </a:prstGeom>
                </pic:spPr>
              </pic:pic>
            </a:graphicData>
          </a:graphic>
          <wp14:sizeRelH relativeFrom="margin">
            <wp14:pctWidth>0</wp14:pctWidth>
          </wp14:sizeRelH>
          <wp14:sizeRelV relativeFrom="margin">
            <wp14:pctHeight>0</wp14:pctHeight>
          </wp14:sizeRelV>
        </wp:anchor>
      </w:drawing>
    </w:r>
  </w:p>
  <w:p w:rsidR="001255F8" w:rsidRDefault="001255F8" w:rsidP="00FE0996">
    <w:pPr>
      <w:pStyle w:val="Header"/>
    </w:pPr>
  </w:p>
  <w:p w:rsidR="00FE0996" w:rsidRPr="00FE0996" w:rsidRDefault="00FE0996" w:rsidP="00F97265">
    <w:pPr>
      <w:pStyle w:val="Header"/>
      <w:tabs>
        <w:tab w:val="left" w:pos="2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09D01EBA"/>
    <w:multiLevelType w:val="hybridMultilevel"/>
    <w:tmpl w:val="DD3E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065BDA"/>
    <w:multiLevelType w:val="hybridMultilevel"/>
    <w:tmpl w:val="293667C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B32E1B"/>
    <w:multiLevelType w:val="hybridMultilevel"/>
    <w:tmpl w:val="DF263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2090F"/>
    <w:multiLevelType w:val="hybridMultilevel"/>
    <w:tmpl w:val="6D9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FD51CE"/>
    <w:multiLevelType w:val="hybridMultilevel"/>
    <w:tmpl w:val="08DC329C"/>
    <w:lvl w:ilvl="0" w:tplc="08090017">
      <w:start w:val="1"/>
      <w:numFmt w:val="lowerLetter"/>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B2C1FBA"/>
    <w:multiLevelType w:val="hybridMultilevel"/>
    <w:tmpl w:val="5A2C9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2140BCD"/>
    <w:multiLevelType w:val="hybridMultilevel"/>
    <w:tmpl w:val="D264C75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3787D5D"/>
    <w:multiLevelType w:val="multilevel"/>
    <w:tmpl w:val="50100CA4"/>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610FAF"/>
    <w:multiLevelType w:val="hybridMultilevel"/>
    <w:tmpl w:val="C9E865E6"/>
    <w:lvl w:ilvl="0" w:tplc="08090017">
      <w:start w:val="1"/>
      <w:numFmt w:val="lowerLetter"/>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086A4B"/>
    <w:multiLevelType w:val="hybridMultilevel"/>
    <w:tmpl w:val="F934D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780698"/>
    <w:multiLevelType w:val="hybridMultilevel"/>
    <w:tmpl w:val="251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127A6"/>
    <w:multiLevelType w:val="hybridMultilevel"/>
    <w:tmpl w:val="15140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030E99"/>
    <w:multiLevelType w:val="multilevel"/>
    <w:tmpl w:val="57281976"/>
    <w:lvl w:ilvl="0">
      <w:start w:val="1"/>
      <w:numFmt w:val="bullet"/>
      <w:lvlText w:val="•"/>
      <w:lvlJc w:val="left"/>
      <w:pPr>
        <w:tabs>
          <w:tab w:val="num" w:pos="170"/>
        </w:tabs>
        <w:ind w:left="170" w:hanging="170"/>
      </w:pPr>
      <w:rPr>
        <w:rFonts w:ascii="Arial" w:hAnsi="Arial" w:hint="default"/>
        <w:color w:val="41B6E6" w:themeColor="accent3"/>
      </w:rPr>
    </w:lvl>
    <w:lvl w:ilvl="1">
      <w:start w:val="1"/>
      <w:numFmt w:val="bullet"/>
      <w:lvlText w:val="–"/>
      <w:lvlJc w:val="left"/>
      <w:pPr>
        <w:tabs>
          <w:tab w:val="num" w:pos="340"/>
        </w:tabs>
        <w:ind w:left="340" w:hanging="170"/>
      </w:pPr>
      <w:rPr>
        <w:rFonts w:ascii="Arial" w:hAnsi="Arial" w:hint="default"/>
        <w:color w:val="41B6E6" w:themeColor="accent3"/>
      </w:rPr>
    </w:lvl>
    <w:lvl w:ilvl="2">
      <w:start w:val="1"/>
      <w:numFmt w:val="bullet"/>
      <w:lvlText w:val="&gt;"/>
      <w:lvlJc w:val="left"/>
      <w:pPr>
        <w:tabs>
          <w:tab w:val="num" w:pos="510"/>
        </w:tabs>
        <w:ind w:left="510" w:hanging="170"/>
      </w:pPr>
      <w:rPr>
        <w:rFonts w:ascii="Arial" w:hAnsi="Arial" w:hint="default"/>
        <w:color w:val="41B6E6" w:themeColor="accent3"/>
      </w:rPr>
    </w:lvl>
    <w:lvl w:ilvl="3">
      <w:start w:val="1"/>
      <w:numFmt w:val="bullet"/>
      <w:lvlText w:val="•"/>
      <w:lvlJc w:val="left"/>
      <w:pPr>
        <w:tabs>
          <w:tab w:val="num" w:pos="680"/>
        </w:tabs>
        <w:ind w:left="680" w:hanging="170"/>
      </w:pPr>
      <w:rPr>
        <w:rFonts w:ascii="Arial" w:hAnsi="Arial" w:hint="default"/>
        <w:color w:val="005EB8" w:themeColor="text2"/>
      </w:rPr>
    </w:lvl>
    <w:lvl w:ilvl="4">
      <w:start w:val="1"/>
      <w:numFmt w:val="bullet"/>
      <w:lvlText w:val="–"/>
      <w:lvlJc w:val="left"/>
      <w:pPr>
        <w:tabs>
          <w:tab w:val="num" w:pos="851"/>
        </w:tabs>
        <w:ind w:left="851" w:hanging="171"/>
      </w:pPr>
      <w:rPr>
        <w:rFonts w:ascii="Arial" w:hAnsi="Arial" w:hint="default"/>
        <w:color w:val="005EB8" w:themeColor="text2"/>
      </w:rPr>
    </w:lvl>
    <w:lvl w:ilvl="5">
      <w:start w:val="1"/>
      <w:numFmt w:val="bullet"/>
      <w:lvlText w:val="&gt;"/>
      <w:lvlJc w:val="left"/>
      <w:pPr>
        <w:tabs>
          <w:tab w:val="num" w:pos="1021"/>
        </w:tabs>
        <w:ind w:left="1021" w:hanging="170"/>
      </w:pPr>
      <w:rPr>
        <w:rFonts w:ascii="Arial" w:hAnsi="Arial" w:hint="default"/>
        <w:color w:val="005EB8" w:themeColor="text2"/>
      </w:rPr>
    </w:lvl>
    <w:lvl w:ilvl="6">
      <w:start w:val="1"/>
      <w:numFmt w:val="bullet"/>
      <w:lvlText w:val="•"/>
      <w:lvlJc w:val="left"/>
      <w:pPr>
        <w:tabs>
          <w:tab w:val="num" w:pos="1191"/>
        </w:tabs>
        <w:ind w:left="1191" w:hanging="170"/>
      </w:pPr>
      <w:rPr>
        <w:rFonts w:ascii="Arial" w:hAnsi="Arial" w:hint="default"/>
        <w:color w:val="005EB8" w:themeColor="text2"/>
      </w:rPr>
    </w:lvl>
    <w:lvl w:ilvl="7">
      <w:start w:val="1"/>
      <w:numFmt w:val="bullet"/>
      <w:lvlText w:val="–"/>
      <w:lvlJc w:val="left"/>
      <w:pPr>
        <w:tabs>
          <w:tab w:val="num" w:pos="1361"/>
        </w:tabs>
        <w:ind w:left="1361" w:hanging="170"/>
      </w:pPr>
      <w:rPr>
        <w:rFonts w:ascii="Arial" w:hAnsi="Arial" w:hint="default"/>
        <w:color w:val="005EB8" w:themeColor="text2"/>
      </w:rPr>
    </w:lvl>
    <w:lvl w:ilvl="8">
      <w:start w:val="1"/>
      <w:numFmt w:val="bullet"/>
      <w:lvlText w:val="&gt;"/>
      <w:lvlJc w:val="left"/>
      <w:pPr>
        <w:tabs>
          <w:tab w:val="num" w:pos="1531"/>
        </w:tabs>
        <w:ind w:left="1531" w:hanging="170"/>
      </w:pPr>
      <w:rPr>
        <w:rFonts w:ascii="Arial" w:hAnsi="Arial" w:hint="default"/>
        <w:color w:val="005EB8" w:themeColor="text2"/>
      </w:rPr>
    </w:lvl>
  </w:abstractNum>
  <w:abstractNum w:abstractNumId="23">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4">
    <w:nsid w:val="65DD2430"/>
    <w:multiLevelType w:val="hybridMultilevel"/>
    <w:tmpl w:val="648A5698"/>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2FD3320"/>
    <w:multiLevelType w:val="hybridMultilevel"/>
    <w:tmpl w:val="E758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DA48B9"/>
    <w:multiLevelType w:val="hybridMultilevel"/>
    <w:tmpl w:val="2754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16"/>
  </w:num>
  <w:num w:numId="32">
    <w:abstractNumId w:val="24"/>
  </w:num>
  <w:num w:numId="33">
    <w:abstractNumId w:val="12"/>
  </w:num>
  <w:num w:numId="34">
    <w:abstractNumId w:val="13"/>
  </w:num>
  <w:num w:numId="35">
    <w:abstractNumId w:val="25"/>
  </w:num>
  <w:num w:numId="36">
    <w:abstractNumId w:val="11"/>
  </w:num>
  <w:num w:numId="37">
    <w:abstractNumId w:val="14"/>
  </w:num>
  <w:num w:numId="38">
    <w:abstractNumId w:val="21"/>
  </w:num>
  <w:num w:numId="39">
    <w:abstractNumId w:val="19"/>
  </w:num>
  <w:num w:numId="40">
    <w:abstractNumId w:val="18"/>
  </w:num>
  <w:num w:numId="41">
    <w:abstractNumId w:val="26"/>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96"/>
    <w:rsid w:val="0000217B"/>
    <w:rsid w:val="0002465E"/>
    <w:rsid w:val="000414D7"/>
    <w:rsid w:val="00057503"/>
    <w:rsid w:val="00080E16"/>
    <w:rsid w:val="000A2604"/>
    <w:rsid w:val="000E098F"/>
    <w:rsid w:val="00111236"/>
    <w:rsid w:val="001255F8"/>
    <w:rsid w:val="001439C4"/>
    <w:rsid w:val="001608F7"/>
    <w:rsid w:val="001641DC"/>
    <w:rsid w:val="00176334"/>
    <w:rsid w:val="00190426"/>
    <w:rsid w:val="00191E34"/>
    <w:rsid w:val="001E418E"/>
    <w:rsid w:val="0022136C"/>
    <w:rsid w:val="00235868"/>
    <w:rsid w:val="002425A2"/>
    <w:rsid w:val="00242B30"/>
    <w:rsid w:val="002639BF"/>
    <w:rsid w:val="002817D4"/>
    <w:rsid w:val="00296498"/>
    <w:rsid w:val="002D2CE9"/>
    <w:rsid w:val="00310B52"/>
    <w:rsid w:val="00347050"/>
    <w:rsid w:val="0035295E"/>
    <w:rsid w:val="003A6F43"/>
    <w:rsid w:val="003F0996"/>
    <w:rsid w:val="004228FD"/>
    <w:rsid w:val="00435045"/>
    <w:rsid w:val="004D4258"/>
    <w:rsid w:val="00526943"/>
    <w:rsid w:val="0055037C"/>
    <w:rsid w:val="005746DB"/>
    <w:rsid w:val="00590925"/>
    <w:rsid w:val="005B38B8"/>
    <w:rsid w:val="005C3734"/>
    <w:rsid w:val="005D7E7B"/>
    <w:rsid w:val="005F1737"/>
    <w:rsid w:val="005F6B0F"/>
    <w:rsid w:val="00603371"/>
    <w:rsid w:val="00603935"/>
    <w:rsid w:val="00617642"/>
    <w:rsid w:val="00624DF5"/>
    <w:rsid w:val="0064609C"/>
    <w:rsid w:val="00663C6F"/>
    <w:rsid w:val="00680909"/>
    <w:rsid w:val="00697ACA"/>
    <w:rsid w:val="006B27D4"/>
    <w:rsid w:val="006F7E41"/>
    <w:rsid w:val="00704328"/>
    <w:rsid w:val="00777B44"/>
    <w:rsid w:val="007F2C41"/>
    <w:rsid w:val="00816F68"/>
    <w:rsid w:val="008331E2"/>
    <w:rsid w:val="0086477C"/>
    <w:rsid w:val="008748DB"/>
    <w:rsid w:val="00896328"/>
    <w:rsid w:val="00897592"/>
    <w:rsid w:val="008B2AEA"/>
    <w:rsid w:val="008C3670"/>
    <w:rsid w:val="008E122C"/>
    <w:rsid w:val="008F433E"/>
    <w:rsid w:val="00903F61"/>
    <w:rsid w:val="00954885"/>
    <w:rsid w:val="009E544D"/>
    <w:rsid w:val="009E7DBF"/>
    <w:rsid w:val="00A2733F"/>
    <w:rsid w:val="00A32763"/>
    <w:rsid w:val="00A43915"/>
    <w:rsid w:val="00A563B1"/>
    <w:rsid w:val="00A75373"/>
    <w:rsid w:val="00AD444F"/>
    <w:rsid w:val="00B2080B"/>
    <w:rsid w:val="00B6589C"/>
    <w:rsid w:val="00B73D4F"/>
    <w:rsid w:val="00B91692"/>
    <w:rsid w:val="00BC62CB"/>
    <w:rsid w:val="00BC65E2"/>
    <w:rsid w:val="00BE2342"/>
    <w:rsid w:val="00C3578F"/>
    <w:rsid w:val="00C46E88"/>
    <w:rsid w:val="00C67686"/>
    <w:rsid w:val="00CC18A1"/>
    <w:rsid w:val="00CD6B5D"/>
    <w:rsid w:val="00CE2CAF"/>
    <w:rsid w:val="00CE40CE"/>
    <w:rsid w:val="00D14396"/>
    <w:rsid w:val="00D35F8F"/>
    <w:rsid w:val="00DB1AC0"/>
    <w:rsid w:val="00DB382A"/>
    <w:rsid w:val="00DE146D"/>
    <w:rsid w:val="00DE2A53"/>
    <w:rsid w:val="00E00E2E"/>
    <w:rsid w:val="00E03525"/>
    <w:rsid w:val="00E13916"/>
    <w:rsid w:val="00E24D23"/>
    <w:rsid w:val="00E27039"/>
    <w:rsid w:val="00E27C35"/>
    <w:rsid w:val="00E374EA"/>
    <w:rsid w:val="00E81396"/>
    <w:rsid w:val="00E92543"/>
    <w:rsid w:val="00EA6271"/>
    <w:rsid w:val="00EB71F5"/>
    <w:rsid w:val="00F0386E"/>
    <w:rsid w:val="00F241EF"/>
    <w:rsid w:val="00F44CE2"/>
    <w:rsid w:val="00F75471"/>
    <w:rsid w:val="00F84063"/>
    <w:rsid w:val="00F97265"/>
    <w:rsid w:val="00FB7451"/>
    <w:rsid w:val="00FD4C90"/>
    <w:rsid w:val="00FE0996"/>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8E"/>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1E418E"/>
    <w:pPr>
      <w:keepNext/>
      <w:keepLines/>
      <w:spacing w:after="240" w:line="240" w:lineRule="auto"/>
      <w:outlineLvl w:val="0"/>
    </w:pPr>
    <w:rPr>
      <w:rFonts w:asciiTheme="majorHAnsi" w:eastAsiaTheme="majorEastAsia" w:hAnsiTheme="majorHAnsi" w:cstheme="majorBidi"/>
      <w:b/>
      <w:bCs/>
      <w:color w:val="005EB8" w:themeColor="text2"/>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8E"/>
    <w:rPr>
      <w:rFonts w:asciiTheme="majorHAnsi" w:eastAsiaTheme="majorEastAsia" w:hAnsiTheme="majorHAnsi" w:cstheme="majorBidi"/>
      <w:b/>
      <w:bCs/>
      <w:color w:val="005EB8" w:themeColor="text2"/>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FE0996"/>
    <w:pPr>
      <w:spacing w:line="240" w:lineRule="auto"/>
    </w:pPr>
  </w:style>
  <w:style w:type="character" w:customStyle="1" w:styleId="HeaderChar">
    <w:name w:val="Header Char"/>
    <w:basedOn w:val="DefaultParagraphFont"/>
    <w:link w:val="Header"/>
    <w:rsid w:val="00FE0996"/>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1E418E"/>
    <w:rPr>
      <w:rFonts w:asciiTheme="minorHAnsi" w:hAnsiTheme="minorHAnsi"/>
      <w:sz w:val="18"/>
      <w:szCs w:val="24"/>
      <w:lang w:eastAsia="en-US"/>
    </w:rPr>
  </w:style>
  <w:style w:type="paragraph" w:styleId="BalloonText">
    <w:name w:val="Balloon Text"/>
    <w:basedOn w:val="Normal"/>
    <w:link w:val="BalloonTextChar"/>
    <w:semiHidden/>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18E"/>
    <w:rPr>
      <w:rFonts w:ascii="Tahoma" w:hAnsi="Tahoma" w:cs="Tahoma"/>
      <w:sz w:val="16"/>
      <w:szCs w:val="16"/>
      <w:lang w:eastAsia="en-US"/>
    </w:rPr>
  </w:style>
  <w:style w:type="paragraph" w:styleId="Title">
    <w:name w:val="Title"/>
    <w:basedOn w:val="Normal"/>
    <w:next w:val="Subtitle"/>
    <w:link w:val="TitleChar"/>
    <w:qFormat/>
    <w:rsid w:val="001E418E"/>
    <w:pPr>
      <w:spacing w:after="720" w:line="240" w:lineRule="auto"/>
      <w:contextualSpacing/>
    </w:pPr>
    <w:rPr>
      <w:rFonts w:asciiTheme="majorHAnsi" w:eastAsiaTheme="majorEastAsia" w:hAnsiTheme="majorHAnsi" w:cstheme="majorBidi"/>
      <w:b/>
      <w:color w:val="005EB8" w:themeColor="text2"/>
      <w:kern w:val="28"/>
      <w:sz w:val="72"/>
      <w:szCs w:val="52"/>
    </w:rPr>
  </w:style>
  <w:style w:type="character" w:customStyle="1" w:styleId="TitleChar">
    <w:name w:val="Title Char"/>
    <w:basedOn w:val="DefaultParagraphFont"/>
    <w:link w:val="Title"/>
    <w:rsid w:val="001E418E"/>
    <w:rPr>
      <w:rFonts w:asciiTheme="majorHAnsi" w:eastAsiaTheme="majorEastAsia" w:hAnsiTheme="majorHAnsi" w:cstheme="majorBidi"/>
      <w:b/>
      <w:color w:val="005EB8" w:themeColor="text2"/>
      <w:kern w:val="28"/>
      <w:sz w:val="72"/>
      <w:szCs w:val="52"/>
      <w:lang w:eastAsia="en-US"/>
    </w:rPr>
  </w:style>
  <w:style w:type="paragraph" w:styleId="Subtitle">
    <w:name w:val="Subtitle"/>
    <w:basedOn w:val="Normal"/>
    <w:next w:val="Normal"/>
    <w:link w:val="SubtitleChar"/>
    <w:qFormat/>
    <w:rsid w:val="001E418E"/>
    <w:pPr>
      <w:numPr>
        <w:ilvl w:val="1"/>
      </w:numPr>
    </w:pPr>
    <w:rPr>
      <w:rFonts w:asciiTheme="majorHAnsi" w:eastAsiaTheme="majorEastAsia" w:hAnsiTheme="majorHAnsi" w:cstheme="majorBidi"/>
      <w:b/>
      <w:iCs/>
      <w:color w:val="005EB8" w:themeColor="text2"/>
      <w:sz w:val="36"/>
    </w:rPr>
  </w:style>
  <w:style w:type="character" w:customStyle="1" w:styleId="SubtitleChar">
    <w:name w:val="Subtitle Char"/>
    <w:basedOn w:val="DefaultParagraphFont"/>
    <w:link w:val="Subtitle"/>
    <w:rsid w:val="001E418E"/>
    <w:rPr>
      <w:rFonts w:asciiTheme="majorHAnsi" w:eastAsiaTheme="majorEastAsia" w:hAnsiTheme="majorHAnsi" w:cstheme="majorBidi"/>
      <w:b/>
      <w:iCs/>
      <w:color w:val="005EB8" w:themeColor="text2"/>
      <w:sz w:val="36"/>
      <w:szCs w:val="24"/>
      <w:lang w:eastAsia="en-US"/>
    </w:rPr>
  </w:style>
  <w:style w:type="character" w:styleId="PageNumber">
    <w:name w:val="page number"/>
    <w:basedOn w:val="DefaultParagraphFont"/>
    <w:rsid w:val="00F75471"/>
    <w:rPr>
      <w:sz w:val="24"/>
    </w:rPr>
  </w:style>
  <w:style w:type="paragraph" w:styleId="ListParagraph">
    <w:name w:val="List Paragraph"/>
    <w:basedOn w:val="Normal"/>
    <w:uiPriority w:val="34"/>
    <w:qFormat/>
    <w:rsid w:val="00D14396"/>
    <w:pPr>
      <w:spacing w:after="160"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D14396"/>
    <w:rPr>
      <w:color w:val="000000" w:themeColor="hyperlink"/>
      <w:u w:val="single"/>
    </w:rPr>
  </w:style>
  <w:style w:type="paragraph" w:styleId="NoSpacing">
    <w:name w:val="No Spacing"/>
    <w:uiPriority w:val="1"/>
    <w:qFormat/>
    <w:rsid w:val="00D1439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8E"/>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1E418E"/>
    <w:pPr>
      <w:keepNext/>
      <w:keepLines/>
      <w:spacing w:after="240" w:line="240" w:lineRule="auto"/>
      <w:outlineLvl w:val="0"/>
    </w:pPr>
    <w:rPr>
      <w:rFonts w:asciiTheme="majorHAnsi" w:eastAsiaTheme="majorEastAsia" w:hAnsiTheme="majorHAnsi" w:cstheme="majorBidi"/>
      <w:b/>
      <w:bCs/>
      <w:color w:val="005EB8" w:themeColor="text2"/>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8E"/>
    <w:rPr>
      <w:rFonts w:asciiTheme="majorHAnsi" w:eastAsiaTheme="majorEastAsia" w:hAnsiTheme="majorHAnsi" w:cstheme="majorBidi"/>
      <w:b/>
      <w:bCs/>
      <w:color w:val="005EB8" w:themeColor="text2"/>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FE0996"/>
    <w:pPr>
      <w:spacing w:line="240" w:lineRule="auto"/>
    </w:pPr>
  </w:style>
  <w:style w:type="character" w:customStyle="1" w:styleId="HeaderChar">
    <w:name w:val="Header Char"/>
    <w:basedOn w:val="DefaultParagraphFont"/>
    <w:link w:val="Header"/>
    <w:rsid w:val="00FE0996"/>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1E418E"/>
    <w:rPr>
      <w:rFonts w:asciiTheme="minorHAnsi" w:hAnsiTheme="minorHAnsi"/>
      <w:sz w:val="18"/>
      <w:szCs w:val="24"/>
      <w:lang w:eastAsia="en-US"/>
    </w:rPr>
  </w:style>
  <w:style w:type="paragraph" w:styleId="BalloonText">
    <w:name w:val="Balloon Text"/>
    <w:basedOn w:val="Normal"/>
    <w:link w:val="BalloonTextChar"/>
    <w:semiHidden/>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18E"/>
    <w:rPr>
      <w:rFonts w:ascii="Tahoma" w:hAnsi="Tahoma" w:cs="Tahoma"/>
      <w:sz w:val="16"/>
      <w:szCs w:val="16"/>
      <w:lang w:eastAsia="en-US"/>
    </w:rPr>
  </w:style>
  <w:style w:type="paragraph" w:styleId="Title">
    <w:name w:val="Title"/>
    <w:basedOn w:val="Normal"/>
    <w:next w:val="Subtitle"/>
    <w:link w:val="TitleChar"/>
    <w:qFormat/>
    <w:rsid w:val="001E418E"/>
    <w:pPr>
      <w:spacing w:after="720" w:line="240" w:lineRule="auto"/>
      <w:contextualSpacing/>
    </w:pPr>
    <w:rPr>
      <w:rFonts w:asciiTheme="majorHAnsi" w:eastAsiaTheme="majorEastAsia" w:hAnsiTheme="majorHAnsi" w:cstheme="majorBidi"/>
      <w:b/>
      <w:color w:val="005EB8" w:themeColor="text2"/>
      <w:kern w:val="28"/>
      <w:sz w:val="72"/>
      <w:szCs w:val="52"/>
    </w:rPr>
  </w:style>
  <w:style w:type="character" w:customStyle="1" w:styleId="TitleChar">
    <w:name w:val="Title Char"/>
    <w:basedOn w:val="DefaultParagraphFont"/>
    <w:link w:val="Title"/>
    <w:rsid w:val="001E418E"/>
    <w:rPr>
      <w:rFonts w:asciiTheme="majorHAnsi" w:eastAsiaTheme="majorEastAsia" w:hAnsiTheme="majorHAnsi" w:cstheme="majorBidi"/>
      <w:b/>
      <w:color w:val="005EB8" w:themeColor="text2"/>
      <w:kern w:val="28"/>
      <w:sz w:val="72"/>
      <w:szCs w:val="52"/>
      <w:lang w:eastAsia="en-US"/>
    </w:rPr>
  </w:style>
  <w:style w:type="paragraph" w:styleId="Subtitle">
    <w:name w:val="Subtitle"/>
    <w:basedOn w:val="Normal"/>
    <w:next w:val="Normal"/>
    <w:link w:val="SubtitleChar"/>
    <w:qFormat/>
    <w:rsid w:val="001E418E"/>
    <w:pPr>
      <w:numPr>
        <w:ilvl w:val="1"/>
      </w:numPr>
    </w:pPr>
    <w:rPr>
      <w:rFonts w:asciiTheme="majorHAnsi" w:eastAsiaTheme="majorEastAsia" w:hAnsiTheme="majorHAnsi" w:cstheme="majorBidi"/>
      <w:b/>
      <w:iCs/>
      <w:color w:val="005EB8" w:themeColor="text2"/>
      <w:sz w:val="36"/>
    </w:rPr>
  </w:style>
  <w:style w:type="character" w:customStyle="1" w:styleId="SubtitleChar">
    <w:name w:val="Subtitle Char"/>
    <w:basedOn w:val="DefaultParagraphFont"/>
    <w:link w:val="Subtitle"/>
    <w:rsid w:val="001E418E"/>
    <w:rPr>
      <w:rFonts w:asciiTheme="majorHAnsi" w:eastAsiaTheme="majorEastAsia" w:hAnsiTheme="majorHAnsi" w:cstheme="majorBidi"/>
      <w:b/>
      <w:iCs/>
      <w:color w:val="005EB8" w:themeColor="text2"/>
      <w:sz w:val="36"/>
      <w:szCs w:val="24"/>
      <w:lang w:eastAsia="en-US"/>
    </w:rPr>
  </w:style>
  <w:style w:type="character" w:styleId="PageNumber">
    <w:name w:val="page number"/>
    <w:basedOn w:val="DefaultParagraphFont"/>
    <w:rsid w:val="00F75471"/>
    <w:rPr>
      <w:sz w:val="24"/>
    </w:rPr>
  </w:style>
  <w:style w:type="paragraph" w:styleId="ListParagraph">
    <w:name w:val="List Paragraph"/>
    <w:basedOn w:val="Normal"/>
    <w:uiPriority w:val="34"/>
    <w:qFormat/>
    <w:rsid w:val="00D14396"/>
    <w:pPr>
      <w:spacing w:after="160"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D14396"/>
    <w:rPr>
      <w:color w:val="000000" w:themeColor="hyperlink"/>
      <w:u w:val="single"/>
    </w:rPr>
  </w:style>
  <w:style w:type="paragraph" w:styleId="NoSpacing">
    <w:name w:val="No Spacing"/>
    <w:uiPriority w:val="1"/>
    <w:qFormat/>
    <w:rsid w:val="00D1439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dominey@nhs.net" TargetMode="External"/><Relationship Id="rId13" Type="http://schemas.openxmlformats.org/officeDocument/2006/relationships/hyperlink" Target="mailto:lucieowens@nhs.net"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satish@nhs.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uise.abson@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trinelwright@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k.ware@nhs.net" TargetMode="External"/><Relationship Id="rId14" Type="http://schemas.openxmlformats.org/officeDocument/2006/relationships/hyperlink" Target="mailto:amberhouse@nhs.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BSWCCG">
      <a:dk1>
        <a:sysClr val="windowText" lastClr="000000"/>
      </a:dk1>
      <a:lt1>
        <a:sysClr val="window" lastClr="FFFFFF"/>
      </a:lt1>
      <a:dk2>
        <a:srgbClr val="005EB8"/>
      </a:dk2>
      <a:lt2>
        <a:srgbClr val="E8EDEE"/>
      </a:lt2>
      <a:accent1>
        <a:srgbClr val="009639"/>
      </a:accent1>
      <a:accent2>
        <a:srgbClr val="78BE20"/>
      </a:accent2>
      <a:accent3>
        <a:srgbClr val="41B6E6"/>
      </a:accent3>
      <a:accent4>
        <a:srgbClr val="003087"/>
      </a:accent4>
      <a:accent5>
        <a:srgbClr val="573894"/>
      </a:accent5>
      <a:accent6>
        <a:srgbClr val="AE2573"/>
      </a:accent6>
      <a:hlink>
        <a:srgbClr val="000000"/>
      </a:hlink>
      <a:folHlink>
        <a:srgbClr val="005EB8"/>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738</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House (BSW CCG)</dc:creator>
  <cp:lastModifiedBy>Owens Lucie (Banes CCG)</cp:lastModifiedBy>
  <cp:revision>6</cp:revision>
  <dcterms:created xsi:type="dcterms:W3CDTF">2021-07-27T13:54:00Z</dcterms:created>
  <dcterms:modified xsi:type="dcterms:W3CDTF">2021-07-27T16:43:00Z</dcterms:modified>
</cp:coreProperties>
</file>