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9D" w:rsidRPr="00C10B9D" w:rsidRDefault="00C10B9D" w:rsidP="00C10B9D">
      <w:pPr>
        <w:rPr>
          <w:rFonts w:ascii="Arial" w:hAnsi="Arial" w:cs="Arial"/>
          <w:b/>
          <w:bCs/>
          <w:sz w:val="28"/>
          <w:szCs w:val="28"/>
        </w:rPr>
      </w:pPr>
      <w:r w:rsidRPr="00C10B9D">
        <w:rPr>
          <w:rFonts w:ascii="Arial" w:hAnsi="Arial" w:cs="Arial"/>
          <w:b/>
          <w:bCs/>
          <w:sz w:val="28"/>
          <w:szCs w:val="28"/>
        </w:rPr>
        <w:t>From CQRF 15 March 2021</w:t>
      </w:r>
    </w:p>
    <w:p w:rsidR="00C10B9D" w:rsidRDefault="00C10B9D" w:rsidP="00C10B9D">
      <w:pPr>
        <w:rPr>
          <w:b/>
          <w:bCs/>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QOF year-end actions required</w:t>
      </w:r>
    </w:p>
    <w:p w:rsidR="00C10B9D" w:rsidRPr="00C10B9D" w:rsidRDefault="00C10B9D" w:rsidP="00C10B9D">
      <w:pPr>
        <w:rPr>
          <w:rFonts w:ascii="Arial" w:hAnsi="Arial" w:cs="Arial"/>
          <w:sz w:val="24"/>
          <w:szCs w:val="24"/>
        </w:rPr>
      </w:pPr>
      <w:r w:rsidRPr="00C10B9D">
        <w:rPr>
          <w:rFonts w:ascii="Arial" w:hAnsi="Arial" w:cs="Arial"/>
          <w:sz w:val="24"/>
          <w:szCs w:val="24"/>
        </w:rPr>
        <w:t xml:space="preserve">Preparation and actions for the 2020/21 year-end QOF collection must be completed by </w:t>
      </w:r>
      <w:r w:rsidRPr="00C10B9D">
        <w:rPr>
          <w:rFonts w:ascii="Arial" w:hAnsi="Arial" w:cs="Arial"/>
          <w:b/>
          <w:bCs/>
          <w:sz w:val="24"/>
          <w:szCs w:val="24"/>
        </w:rPr>
        <w:t xml:space="preserve">the deadlines indicated. </w:t>
      </w:r>
      <w:r w:rsidRPr="00C10B9D">
        <w:rPr>
          <w:rFonts w:ascii="Arial" w:hAnsi="Arial" w:cs="Arial"/>
          <w:sz w:val="24"/>
          <w:szCs w:val="24"/>
        </w:rPr>
        <w:t>This will</w:t>
      </w:r>
      <w:r w:rsidRPr="00C10B9D">
        <w:rPr>
          <w:rFonts w:ascii="Arial" w:hAnsi="Arial" w:cs="Arial"/>
          <w:b/>
          <w:bCs/>
          <w:sz w:val="24"/>
          <w:szCs w:val="24"/>
        </w:rPr>
        <w:t xml:space="preserve"> </w:t>
      </w:r>
      <w:r w:rsidRPr="00C10B9D">
        <w:rPr>
          <w:rFonts w:ascii="Arial" w:hAnsi="Arial" w:cs="Arial"/>
          <w:sz w:val="24"/>
          <w:szCs w:val="24"/>
        </w:rPr>
        <w:t>enable us to collect your 2020/21 QOF achievement payments and calculate 2021/22 aspiration payments.</w:t>
      </w:r>
    </w:p>
    <w:p w:rsidR="00C10B9D" w:rsidRPr="00C10B9D" w:rsidRDefault="00C10B9D" w:rsidP="00C10B9D">
      <w:pPr>
        <w:rPr>
          <w:rFonts w:ascii="Arial" w:hAnsi="Arial" w:cs="Arial"/>
          <w:b/>
          <w:bCs/>
          <w:sz w:val="24"/>
          <w:szCs w:val="24"/>
        </w:rPr>
      </w:pPr>
    </w:p>
    <w:tbl>
      <w:tblPr>
        <w:tblW w:w="0" w:type="auto"/>
        <w:tblCellMar>
          <w:left w:w="0" w:type="dxa"/>
          <w:right w:w="0" w:type="dxa"/>
        </w:tblCellMar>
        <w:tblLook w:val="04A0" w:firstRow="1" w:lastRow="0" w:firstColumn="1" w:lastColumn="0" w:noHBand="0" w:noVBand="1"/>
      </w:tblPr>
      <w:tblGrid>
        <w:gridCol w:w="7290"/>
        <w:gridCol w:w="2204"/>
      </w:tblGrid>
      <w:tr w:rsidR="00C10B9D" w:rsidRPr="00C10B9D" w:rsidTr="00C10B9D">
        <w:tc>
          <w:tcPr>
            <w:tcW w:w="72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b/>
                <w:bCs/>
                <w:sz w:val="24"/>
                <w:szCs w:val="24"/>
              </w:rPr>
              <w:t>Action</w:t>
            </w:r>
          </w:p>
        </w:tc>
        <w:tc>
          <w:tcPr>
            <w:tcW w:w="22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b/>
                <w:bCs/>
                <w:sz w:val="24"/>
                <w:szCs w:val="24"/>
              </w:rPr>
            </w:pPr>
            <w:r w:rsidRPr="00C10B9D">
              <w:rPr>
                <w:rFonts w:ascii="Arial" w:hAnsi="Arial" w:cs="Arial"/>
                <w:b/>
                <w:bCs/>
                <w:sz w:val="24"/>
                <w:szCs w:val="24"/>
              </w:rPr>
              <w:t>Deadline</w:t>
            </w:r>
          </w:p>
        </w:tc>
      </w:tr>
      <w:tr w:rsidR="00C10B9D" w:rsidRPr="00C10B9D" w:rsidTr="00C10B9D">
        <w:tc>
          <w:tcPr>
            <w:tcW w:w="72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numPr>
                <w:ilvl w:val="0"/>
                <w:numId w:val="1"/>
              </w:numPr>
              <w:rPr>
                <w:rFonts w:ascii="Arial" w:hAnsi="Arial" w:cs="Arial"/>
                <w:sz w:val="24"/>
                <w:szCs w:val="24"/>
              </w:rPr>
            </w:pPr>
            <w:r w:rsidRPr="00C10B9D">
              <w:rPr>
                <w:rFonts w:ascii="Arial" w:hAnsi="Arial" w:cs="Arial"/>
                <w:sz w:val="24"/>
                <w:szCs w:val="24"/>
              </w:rPr>
              <w:t xml:space="preserve">Ensure you are participating in QOF 20/21 on CQRS. Contact your commissioning organisation if you have not been offered QOF 20/21. </w:t>
            </w:r>
          </w:p>
        </w:tc>
        <w:tc>
          <w:tcPr>
            <w:tcW w:w="220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b/>
                <w:bCs/>
                <w:sz w:val="24"/>
                <w:szCs w:val="24"/>
              </w:rPr>
              <w:t>26 March 2021</w:t>
            </w:r>
          </w:p>
        </w:tc>
      </w:tr>
      <w:tr w:rsidR="00C10B9D" w:rsidRPr="00C10B9D" w:rsidTr="00C10B9D">
        <w:tc>
          <w:tcPr>
            <w:tcW w:w="72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numPr>
                <w:ilvl w:val="0"/>
                <w:numId w:val="2"/>
              </w:numPr>
              <w:rPr>
                <w:rFonts w:ascii="Arial" w:hAnsi="Arial" w:cs="Arial"/>
                <w:sz w:val="24"/>
                <w:szCs w:val="24"/>
              </w:rPr>
            </w:pPr>
            <w:r w:rsidRPr="00C10B9D">
              <w:rPr>
                <w:rFonts w:ascii="Arial" w:hAnsi="Arial" w:cs="Arial"/>
                <w:sz w:val="24"/>
                <w:szCs w:val="24"/>
              </w:rPr>
              <w:t>Agree to participate in QOF 21/22 on CQRS. Practices will start to see the offer in CQRS from the first week of March 2021.</w:t>
            </w:r>
          </w:p>
        </w:tc>
        <w:tc>
          <w:tcPr>
            <w:tcW w:w="22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b/>
                <w:bCs/>
                <w:sz w:val="24"/>
                <w:szCs w:val="24"/>
              </w:rPr>
              <w:t>26 March 2021</w:t>
            </w:r>
          </w:p>
        </w:tc>
      </w:tr>
      <w:tr w:rsidR="00C10B9D" w:rsidRPr="00C10B9D" w:rsidTr="00C10B9D">
        <w:tc>
          <w:tcPr>
            <w:tcW w:w="729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numPr>
                <w:ilvl w:val="0"/>
                <w:numId w:val="3"/>
              </w:numPr>
              <w:rPr>
                <w:rFonts w:ascii="Arial" w:hAnsi="Arial" w:cs="Arial"/>
                <w:sz w:val="24"/>
                <w:szCs w:val="24"/>
              </w:rPr>
            </w:pPr>
            <w:r w:rsidRPr="00C10B9D">
              <w:rPr>
                <w:rFonts w:ascii="Arial" w:hAnsi="Arial" w:cs="Arial"/>
                <w:sz w:val="24"/>
                <w:szCs w:val="24"/>
              </w:rPr>
              <w:t>Complete all the relevant actions in the QOF 2020/21 year-end checklist on our website.</w:t>
            </w:r>
          </w:p>
        </w:tc>
        <w:tc>
          <w:tcPr>
            <w:tcW w:w="220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b/>
                <w:bCs/>
                <w:sz w:val="24"/>
                <w:szCs w:val="24"/>
                <w:lang w:val="en"/>
              </w:rPr>
              <w:t>31 March 2021</w:t>
            </w:r>
          </w:p>
        </w:tc>
      </w:tr>
    </w:tbl>
    <w:p w:rsidR="00C10B9D" w:rsidRPr="00C10B9D" w:rsidRDefault="00C10B9D" w:rsidP="00C10B9D">
      <w:pPr>
        <w:rPr>
          <w:rFonts w:ascii="Arial" w:hAnsi="Arial" w:cs="Arial"/>
          <w:b/>
          <w:bCs/>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If you do not complete all actions above, your aspiration payment calculation will be affected and payment for April 2021 may be delayed.</w:t>
      </w:r>
    </w:p>
    <w:p w:rsidR="00C10B9D" w:rsidRPr="00C10B9D" w:rsidRDefault="00C10B9D" w:rsidP="00C10B9D">
      <w:pPr>
        <w:rPr>
          <w:rFonts w:ascii="Arial" w:hAnsi="Arial" w:cs="Arial"/>
          <w:b/>
          <w:bCs/>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Manual Indicators</w:t>
      </w:r>
    </w:p>
    <w:p w:rsidR="00C10B9D" w:rsidRPr="00C10B9D" w:rsidRDefault="00C10B9D" w:rsidP="00C10B9D">
      <w:pPr>
        <w:rPr>
          <w:rFonts w:ascii="Arial" w:hAnsi="Arial" w:cs="Arial"/>
          <w:b/>
          <w:bCs/>
          <w:sz w:val="24"/>
          <w:szCs w:val="24"/>
        </w:rPr>
      </w:pPr>
    </w:p>
    <w:p w:rsidR="00C10B9D" w:rsidRPr="00C10B9D" w:rsidRDefault="00C10B9D" w:rsidP="00C10B9D">
      <w:pPr>
        <w:rPr>
          <w:rFonts w:ascii="Arial" w:hAnsi="Arial" w:cs="Arial"/>
          <w:b/>
          <w:bCs/>
          <w:sz w:val="24"/>
          <w:szCs w:val="24"/>
        </w:rPr>
      </w:pPr>
      <w:r w:rsidRPr="00C10B9D">
        <w:rPr>
          <w:rFonts w:ascii="Arial" w:hAnsi="Arial" w:cs="Arial"/>
          <w:sz w:val="24"/>
          <w:szCs w:val="24"/>
        </w:rPr>
        <w:t>All manual indicators for QOF 20/21 have now been set to ‘Yes’ automatically, no further action is required at a practice level and we request these values are not changed to prevent errors during the year end calculations.  The following indicators were populated:</w:t>
      </w:r>
    </w:p>
    <w:p w:rsidR="00C10B9D" w:rsidRPr="00C10B9D" w:rsidRDefault="00C10B9D" w:rsidP="00C10B9D">
      <w:pPr>
        <w:rPr>
          <w:rFonts w:ascii="Arial" w:hAnsi="Arial" w:cs="Arial"/>
          <w:b/>
          <w:bCs/>
          <w:sz w:val="24"/>
          <w:szCs w:val="24"/>
        </w:rPr>
      </w:pPr>
    </w:p>
    <w:tbl>
      <w:tblPr>
        <w:tblW w:w="11200" w:type="dxa"/>
        <w:tblCellMar>
          <w:left w:w="0" w:type="dxa"/>
          <w:right w:w="0" w:type="dxa"/>
        </w:tblCellMar>
        <w:tblLook w:val="04A0" w:firstRow="1" w:lastRow="0" w:firstColumn="1" w:lastColumn="0" w:noHBand="0" w:noVBand="1"/>
      </w:tblPr>
      <w:tblGrid>
        <w:gridCol w:w="1420"/>
        <w:gridCol w:w="9780"/>
      </w:tblGrid>
      <w:tr w:rsidR="00C10B9D" w:rsidRPr="00C10B9D" w:rsidTr="00C10B9D">
        <w:trPr>
          <w:trHeight w:val="465"/>
        </w:trPr>
        <w:tc>
          <w:tcPr>
            <w:tcW w:w="14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b/>
                <w:bCs/>
                <w:sz w:val="24"/>
                <w:szCs w:val="24"/>
              </w:rPr>
              <w:t>QIECD005</w:t>
            </w:r>
          </w:p>
        </w:tc>
        <w:tc>
          <w:tcPr>
            <w:tcW w:w="9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The contractor can demonstrate continuous quality improvement activity focused upon early cancer diagnosis as specified in the QOF guidance.</w:t>
            </w:r>
          </w:p>
        </w:tc>
      </w:tr>
      <w:tr w:rsidR="00C10B9D" w:rsidRPr="00C10B9D" w:rsidTr="00C10B9D">
        <w:trPr>
          <w:trHeight w:val="765"/>
        </w:trPr>
        <w:tc>
          <w:tcPr>
            <w:tcW w:w="142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hideMark/>
          </w:tcPr>
          <w:p w:rsidR="00C10B9D" w:rsidRPr="00C10B9D" w:rsidRDefault="00C10B9D" w:rsidP="00C10B9D">
            <w:pPr>
              <w:rPr>
                <w:rFonts w:ascii="Arial" w:hAnsi="Arial" w:cs="Arial"/>
                <w:b/>
                <w:bCs/>
                <w:sz w:val="24"/>
                <w:szCs w:val="24"/>
              </w:rPr>
            </w:pPr>
            <w:r w:rsidRPr="00C10B9D">
              <w:rPr>
                <w:rFonts w:ascii="Arial" w:hAnsi="Arial" w:cs="Arial"/>
                <w:b/>
                <w:bCs/>
                <w:sz w:val="24"/>
                <w:szCs w:val="24"/>
              </w:rPr>
              <w:t>QIECD006</w:t>
            </w:r>
          </w:p>
        </w:tc>
        <w:tc>
          <w:tcPr>
            <w:tcW w:w="97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The contractor has participated in network activity to regularly share and discuss learning from quality improvement activity focused on early cancer diagnosis as specified in the QOF guidance. This would usually include participating in a minimum of two peer review meetings.</w:t>
            </w:r>
          </w:p>
        </w:tc>
      </w:tr>
      <w:tr w:rsidR="00C10B9D" w:rsidRPr="00C10B9D" w:rsidTr="00C10B9D">
        <w:trPr>
          <w:trHeight w:val="51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10B9D" w:rsidRPr="00C10B9D" w:rsidRDefault="00C10B9D" w:rsidP="00C10B9D">
            <w:pPr>
              <w:rPr>
                <w:rFonts w:ascii="Arial" w:hAnsi="Arial" w:cs="Arial"/>
                <w:b/>
                <w:bCs/>
                <w:sz w:val="24"/>
                <w:szCs w:val="24"/>
              </w:rPr>
            </w:pPr>
            <w:r w:rsidRPr="00C10B9D">
              <w:rPr>
                <w:rFonts w:ascii="Arial" w:hAnsi="Arial" w:cs="Arial"/>
                <w:b/>
                <w:bCs/>
                <w:sz w:val="24"/>
                <w:szCs w:val="24"/>
              </w:rPr>
              <w:t>QILD007</w:t>
            </w:r>
          </w:p>
        </w:tc>
        <w:tc>
          <w:tcPr>
            <w:tcW w:w="9780" w:type="dxa"/>
            <w:tcBorders>
              <w:top w:val="nil"/>
              <w:left w:val="nil"/>
              <w:bottom w:val="single" w:sz="8" w:space="0" w:color="auto"/>
              <w:right w:val="single" w:sz="8" w:space="0" w:color="auto"/>
            </w:tcBorders>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The contractor can demonstrate continuous quality improvement activity focused on care of patients with a learning disability as specified in the QOF guidance.</w:t>
            </w:r>
          </w:p>
        </w:tc>
      </w:tr>
      <w:tr w:rsidR="00C10B9D" w:rsidRPr="00C10B9D" w:rsidTr="00C10B9D">
        <w:trPr>
          <w:trHeight w:val="765"/>
        </w:trPr>
        <w:tc>
          <w:tcPr>
            <w:tcW w:w="1420"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hideMark/>
          </w:tcPr>
          <w:p w:rsidR="00C10B9D" w:rsidRPr="00C10B9D" w:rsidRDefault="00C10B9D" w:rsidP="00C10B9D">
            <w:pPr>
              <w:rPr>
                <w:rFonts w:ascii="Arial" w:hAnsi="Arial" w:cs="Arial"/>
                <w:b/>
                <w:bCs/>
                <w:sz w:val="24"/>
                <w:szCs w:val="24"/>
              </w:rPr>
            </w:pPr>
            <w:r w:rsidRPr="00C10B9D">
              <w:rPr>
                <w:rFonts w:ascii="Arial" w:hAnsi="Arial" w:cs="Arial"/>
                <w:b/>
                <w:bCs/>
                <w:sz w:val="24"/>
                <w:szCs w:val="24"/>
              </w:rPr>
              <w:t>QILD008</w:t>
            </w:r>
          </w:p>
        </w:tc>
        <w:tc>
          <w:tcPr>
            <w:tcW w:w="978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The contractor has participated in network activity to regularly share and discuss learning from quality improvement activity focused on the care of patients with a learning disability as specified in the QOF guidance. This would usually include participating in a minimum of two network peer review meetings.</w:t>
            </w:r>
          </w:p>
        </w:tc>
      </w:tr>
    </w:tbl>
    <w:p w:rsidR="00C10B9D" w:rsidRPr="00C10B9D" w:rsidRDefault="00C10B9D" w:rsidP="00C10B9D">
      <w:pPr>
        <w:rPr>
          <w:rFonts w:ascii="Arial" w:hAnsi="Arial" w:cs="Arial"/>
          <w:sz w:val="24"/>
          <w:szCs w:val="24"/>
        </w:rPr>
      </w:pPr>
    </w:p>
    <w:p w:rsidR="00C10B9D" w:rsidRPr="00C10B9D" w:rsidRDefault="00C10B9D" w:rsidP="00C10B9D">
      <w:pPr>
        <w:rPr>
          <w:rFonts w:ascii="Arial" w:hAnsi="Arial" w:cs="Arial"/>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Income Protected Indicators</w:t>
      </w:r>
    </w:p>
    <w:p w:rsidR="00C10B9D" w:rsidRPr="00C10B9D" w:rsidRDefault="00C10B9D" w:rsidP="00C10B9D">
      <w:pPr>
        <w:rPr>
          <w:rFonts w:ascii="Arial" w:hAnsi="Arial" w:cs="Arial"/>
          <w:sz w:val="24"/>
          <w:szCs w:val="24"/>
        </w:rPr>
      </w:pPr>
      <w:r w:rsidRPr="00C10B9D">
        <w:rPr>
          <w:rFonts w:ascii="Arial" w:hAnsi="Arial" w:cs="Arial"/>
          <w:sz w:val="24"/>
          <w:szCs w:val="24"/>
        </w:rPr>
        <w:lastRenderedPageBreak/>
        <w:t xml:space="preserve">A number of indicators will have credited points applied for the </w:t>
      </w:r>
      <w:proofErr w:type="spellStart"/>
      <w:r w:rsidRPr="00C10B9D">
        <w:rPr>
          <w:rFonts w:ascii="Arial" w:hAnsi="Arial" w:cs="Arial"/>
          <w:sz w:val="24"/>
          <w:szCs w:val="24"/>
        </w:rPr>
        <w:t>QoF</w:t>
      </w:r>
      <w:proofErr w:type="spellEnd"/>
      <w:r w:rsidRPr="00C10B9D">
        <w:rPr>
          <w:rFonts w:ascii="Arial" w:hAnsi="Arial" w:cs="Arial"/>
          <w:sz w:val="24"/>
          <w:szCs w:val="24"/>
        </w:rPr>
        <w:t xml:space="preserve"> Year End Achievement Calculation 2020/2021 as outlined in </w:t>
      </w:r>
      <w:hyperlink r:id="rId6" w:history="1">
        <w:r w:rsidRPr="00C10B9D">
          <w:rPr>
            <w:rStyle w:val="Hyperlink"/>
            <w:rFonts w:ascii="Arial" w:hAnsi="Arial" w:cs="Arial"/>
            <w:i/>
            <w:iCs/>
            <w:sz w:val="24"/>
            <w:szCs w:val="24"/>
          </w:rPr>
          <w:t>2020/21 General Medical Services (GMS) contract Quality and Outcomes Framework (QOF)</w:t>
        </w:r>
      </w:hyperlink>
      <w:r w:rsidRPr="00C10B9D">
        <w:rPr>
          <w:rFonts w:ascii="Arial" w:hAnsi="Arial" w:cs="Arial"/>
          <w:sz w:val="24"/>
          <w:szCs w:val="24"/>
        </w:rPr>
        <w:t>, these credited points will be summed with conditional points during the year end calculations and displayed within the Achievement Summary Report and Detailed Provider Achievement Report within CQRS.  No action is required by the practice, this will be automated.</w:t>
      </w:r>
    </w:p>
    <w:p w:rsidR="00C10B9D" w:rsidRPr="00C10B9D" w:rsidRDefault="00C10B9D" w:rsidP="00C10B9D">
      <w:pPr>
        <w:rPr>
          <w:rFonts w:ascii="Arial" w:hAnsi="Arial" w:cs="Arial"/>
          <w:b/>
          <w:bCs/>
          <w:sz w:val="24"/>
          <w:szCs w:val="24"/>
        </w:rPr>
      </w:pPr>
      <w:r w:rsidRPr="00C10B9D">
        <w:rPr>
          <w:rFonts w:ascii="Arial" w:hAnsi="Arial" w:cs="Arial"/>
          <w:b/>
          <w:bCs/>
          <w:sz w:val="24"/>
          <w:szCs w:val="24"/>
        </w:rPr>
        <w:t>Detailed Provider Achievement Report</w:t>
      </w:r>
    </w:p>
    <w:p w:rsidR="00C10B9D" w:rsidRPr="00C10B9D" w:rsidRDefault="00C10B9D" w:rsidP="00C10B9D">
      <w:pPr>
        <w:rPr>
          <w:rFonts w:ascii="Arial" w:hAnsi="Arial" w:cs="Arial"/>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Domain Level Reports</w:t>
      </w:r>
    </w:p>
    <w:p w:rsidR="00C10B9D" w:rsidRPr="00C10B9D" w:rsidRDefault="00C10B9D" w:rsidP="00C10B9D">
      <w:pPr>
        <w:rPr>
          <w:rFonts w:ascii="Arial" w:hAnsi="Arial" w:cs="Arial"/>
          <w:sz w:val="24"/>
          <w:szCs w:val="24"/>
        </w:rPr>
      </w:pPr>
      <w:r w:rsidRPr="00C10B9D">
        <w:rPr>
          <w:rFonts w:ascii="Arial" w:hAnsi="Arial" w:cs="Arial"/>
          <w:sz w:val="24"/>
          <w:szCs w:val="24"/>
        </w:rPr>
        <w:t>At the clinical domain level reports are unchanged and the total achievement will be displayed including any income protected achievement.</w:t>
      </w:r>
    </w:p>
    <w:p w:rsidR="00C10B9D" w:rsidRPr="00C10B9D" w:rsidRDefault="00C10B9D" w:rsidP="00C10B9D">
      <w:pPr>
        <w:rPr>
          <w:rFonts w:ascii="Arial" w:hAnsi="Arial" w:cs="Arial"/>
          <w:b/>
          <w:bCs/>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Indicator Level Reports</w:t>
      </w:r>
    </w:p>
    <w:p w:rsidR="00C10B9D" w:rsidRPr="00C10B9D" w:rsidRDefault="00C10B9D" w:rsidP="00C10B9D">
      <w:pPr>
        <w:rPr>
          <w:rFonts w:ascii="Arial" w:hAnsi="Arial" w:cs="Arial"/>
          <w:sz w:val="24"/>
          <w:szCs w:val="24"/>
        </w:rPr>
      </w:pPr>
      <w:r w:rsidRPr="00C10B9D">
        <w:rPr>
          <w:rFonts w:ascii="Arial" w:hAnsi="Arial" w:cs="Arial"/>
          <w:sz w:val="24"/>
          <w:szCs w:val="24"/>
        </w:rPr>
        <w:t>At the indicator level additional information will be displayed depending on if the indicator is conditional or income protected.</w:t>
      </w:r>
    </w:p>
    <w:p w:rsidR="00C10B9D" w:rsidRPr="00C10B9D" w:rsidRDefault="00C10B9D" w:rsidP="00C10B9D">
      <w:pPr>
        <w:rPr>
          <w:rFonts w:ascii="Arial" w:hAnsi="Arial" w:cs="Arial"/>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 xml:space="preserve">Conditional Indicators </w:t>
      </w:r>
    </w:p>
    <w:p w:rsidR="00C10B9D" w:rsidRPr="00C10B9D" w:rsidRDefault="00C10B9D" w:rsidP="00C10B9D">
      <w:pPr>
        <w:rPr>
          <w:rFonts w:ascii="Arial" w:hAnsi="Arial" w:cs="Arial"/>
          <w:sz w:val="24"/>
          <w:szCs w:val="24"/>
        </w:rPr>
      </w:pPr>
      <w:r w:rsidRPr="00C10B9D">
        <w:rPr>
          <w:rFonts w:ascii="Arial" w:hAnsi="Arial" w:cs="Arial"/>
          <w:sz w:val="24"/>
          <w:szCs w:val="24"/>
        </w:rPr>
        <w:t xml:space="preserve">Data will display data as normal and are indicated by the Indicator Type as ‘Conditional’. </w:t>
      </w:r>
    </w:p>
    <w:p w:rsidR="00C10B9D" w:rsidRPr="00C10B9D" w:rsidRDefault="00C10B9D" w:rsidP="00C10B9D">
      <w:pPr>
        <w:rPr>
          <w:rFonts w:ascii="Arial" w:hAnsi="Arial" w:cs="Arial"/>
          <w:sz w:val="24"/>
          <w:szCs w:val="24"/>
        </w:rPr>
      </w:pPr>
      <w:r w:rsidRPr="00C10B9D">
        <w:rPr>
          <w:rFonts w:ascii="Arial" w:hAnsi="Arial" w:cs="Arial"/>
          <w:sz w:val="24"/>
          <w:szCs w:val="24"/>
        </w:rPr>
        <w:t>The Max Points (column) = the max Conditional points</w:t>
      </w:r>
    </w:p>
    <w:p w:rsidR="00C10B9D" w:rsidRPr="00C10B9D" w:rsidRDefault="00C10B9D" w:rsidP="00C10B9D">
      <w:pPr>
        <w:rPr>
          <w:rFonts w:ascii="Arial" w:hAnsi="Arial" w:cs="Arial"/>
          <w:sz w:val="24"/>
          <w:szCs w:val="24"/>
        </w:rPr>
      </w:pPr>
      <w:r w:rsidRPr="00C10B9D">
        <w:rPr>
          <w:rFonts w:ascii="Arial" w:hAnsi="Arial" w:cs="Arial"/>
          <w:sz w:val="24"/>
          <w:szCs w:val="24"/>
        </w:rPr>
        <w:t>Achieved Points (column) = Conditional points credited</w:t>
      </w:r>
    </w:p>
    <w:p w:rsidR="00C10B9D" w:rsidRPr="00C10B9D" w:rsidRDefault="00C10B9D" w:rsidP="00C10B9D">
      <w:pPr>
        <w:rPr>
          <w:rFonts w:ascii="Arial" w:hAnsi="Arial" w:cs="Arial"/>
          <w:sz w:val="24"/>
          <w:szCs w:val="24"/>
        </w:rPr>
      </w:pPr>
      <w:r w:rsidRPr="00C10B9D">
        <w:rPr>
          <w:rFonts w:ascii="Arial" w:hAnsi="Arial" w:cs="Arial"/>
          <w:sz w:val="24"/>
          <w:szCs w:val="24"/>
        </w:rPr>
        <w:lastRenderedPageBreak/>
        <w:drawing>
          <wp:inline distT="0" distB="0" distL="0" distR="0" wp14:anchorId="310E8C7D" wp14:editId="16305CF2">
            <wp:extent cx="6257925" cy="2419350"/>
            <wp:effectExtent l="0" t="0" r="9525" b="0"/>
            <wp:docPr id="4" name="Picture 4" descr="cid:image001.jpg@01D719B9.02B9E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19B9.02B9E3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57925" cy="2419350"/>
                    </a:xfrm>
                    <a:prstGeom prst="rect">
                      <a:avLst/>
                    </a:prstGeom>
                    <a:noFill/>
                    <a:ln>
                      <a:noFill/>
                    </a:ln>
                  </pic:spPr>
                </pic:pic>
              </a:graphicData>
            </a:graphic>
          </wp:inline>
        </w:drawing>
      </w:r>
    </w:p>
    <w:p w:rsidR="00C10B9D" w:rsidRPr="00C10B9D" w:rsidRDefault="00C10B9D" w:rsidP="00C10B9D">
      <w:pPr>
        <w:rPr>
          <w:rFonts w:ascii="Arial" w:hAnsi="Arial" w:cs="Arial"/>
          <w:b/>
          <w:bCs/>
          <w:sz w:val="24"/>
          <w:szCs w:val="24"/>
        </w:rPr>
      </w:pPr>
      <w:r w:rsidRPr="00C10B9D">
        <w:rPr>
          <w:rFonts w:ascii="Arial" w:hAnsi="Arial" w:cs="Arial"/>
          <w:b/>
          <w:bCs/>
          <w:sz w:val="24"/>
          <w:szCs w:val="24"/>
        </w:rPr>
        <w:t xml:space="preserve">Income protected indicators </w:t>
      </w:r>
    </w:p>
    <w:p w:rsidR="00C10B9D" w:rsidRPr="00C10B9D" w:rsidRDefault="00C10B9D" w:rsidP="00C10B9D">
      <w:pPr>
        <w:rPr>
          <w:rFonts w:ascii="Arial" w:hAnsi="Arial" w:cs="Arial"/>
          <w:sz w:val="24"/>
          <w:szCs w:val="24"/>
        </w:rPr>
      </w:pPr>
      <w:r w:rsidRPr="00C10B9D">
        <w:rPr>
          <w:rFonts w:ascii="Arial" w:hAnsi="Arial" w:cs="Arial"/>
          <w:sz w:val="24"/>
          <w:szCs w:val="24"/>
        </w:rPr>
        <w:t>Data will not show the numerator or denominator values as performance is based upon previous achievement.</w:t>
      </w:r>
    </w:p>
    <w:p w:rsidR="00C10B9D" w:rsidRPr="00C10B9D" w:rsidRDefault="00C10B9D" w:rsidP="00C10B9D">
      <w:pPr>
        <w:rPr>
          <w:rFonts w:ascii="Arial" w:hAnsi="Arial" w:cs="Arial"/>
          <w:sz w:val="24"/>
          <w:szCs w:val="24"/>
        </w:rPr>
      </w:pPr>
      <w:r w:rsidRPr="00C10B9D">
        <w:rPr>
          <w:rFonts w:ascii="Arial" w:hAnsi="Arial" w:cs="Arial"/>
          <w:sz w:val="24"/>
          <w:szCs w:val="24"/>
        </w:rPr>
        <w:t>Max Points (column) = the max Income Protected points</w:t>
      </w:r>
    </w:p>
    <w:p w:rsidR="00C10B9D" w:rsidRPr="00C10B9D" w:rsidRDefault="00C10B9D" w:rsidP="00C10B9D">
      <w:pPr>
        <w:rPr>
          <w:rFonts w:ascii="Arial" w:hAnsi="Arial" w:cs="Arial"/>
          <w:sz w:val="24"/>
          <w:szCs w:val="24"/>
        </w:rPr>
      </w:pPr>
      <w:r w:rsidRPr="00C10B9D">
        <w:rPr>
          <w:rFonts w:ascii="Arial" w:hAnsi="Arial" w:cs="Arial"/>
          <w:sz w:val="24"/>
          <w:szCs w:val="24"/>
        </w:rPr>
        <w:t>Achieved Points (column) = Income Protected points credited</w:t>
      </w:r>
    </w:p>
    <w:p w:rsidR="00C10B9D" w:rsidRPr="00C10B9D" w:rsidRDefault="00C10B9D" w:rsidP="00C10B9D">
      <w:pPr>
        <w:rPr>
          <w:rFonts w:ascii="Arial" w:hAnsi="Arial" w:cs="Arial"/>
          <w:b/>
          <w:bCs/>
          <w:sz w:val="24"/>
          <w:szCs w:val="24"/>
        </w:rPr>
      </w:pPr>
      <w:r w:rsidRPr="00C10B9D">
        <w:rPr>
          <w:rFonts w:ascii="Arial" w:hAnsi="Arial" w:cs="Arial"/>
          <w:sz w:val="24"/>
          <w:szCs w:val="24"/>
        </w:rPr>
        <w:lastRenderedPageBreak/>
        <w:drawing>
          <wp:inline distT="0" distB="0" distL="0" distR="0" wp14:anchorId="586A78F8" wp14:editId="07AF9FC2">
            <wp:extent cx="8401050" cy="2581275"/>
            <wp:effectExtent l="0" t="0" r="0" b="9525"/>
            <wp:docPr id="3" name="Picture 3" descr="cid:image002.jpg@01D719B9.02B9E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19B9.02B9E3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1050" cy="2581275"/>
                    </a:xfrm>
                    <a:prstGeom prst="rect">
                      <a:avLst/>
                    </a:prstGeom>
                    <a:noFill/>
                    <a:ln>
                      <a:noFill/>
                    </a:ln>
                  </pic:spPr>
                </pic:pic>
              </a:graphicData>
            </a:graphic>
          </wp:inline>
        </w:drawing>
      </w:r>
    </w:p>
    <w:p w:rsidR="00C10B9D" w:rsidRPr="00C10B9D" w:rsidRDefault="00C10B9D" w:rsidP="00C10B9D">
      <w:pPr>
        <w:rPr>
          <w:rFonts w:ascii="Arial" w:hAnsi="Arial" w:cs="Arial"/>
          <w:b/>
          <w:bCs/>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Achievement Summary Report</w:t>
      </w:r>
    </w:p>
    <w:p w:rsidR="00C10B9D" w:rsidRPr="00C10B9D" w:rsidRDefault="00C10B9D" w:rsidP="00C10B9D">
      <w:pPr>
        <w:rPr>
          <w:rFonts w:ascii="Arial" w:hAnsi="Arial" w:cs="Arial"/>
          <w:b/>
          <w:bCs/>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Domain Level Reports</w:t>
      </w:r>
    </w:p>
    <w:p w:rsidR="00C10B9D" w:rsidRPr="00C10B9D" w:rsidRDefault="00C10B9D" w:rsidP="00C10B9D">
      <w:pPr>
        <w:rPr>
          <w:rFonts w:ascii="Arial" w:hAnsi="Arial" w:cs="Arial"/>
          <w:sz w:val="24"/>
          <w:szCs w:val="24"/>
        </w:rPr>
      </w:pPr>
      <w:r w:rsidRPr="00C10B9D">
        <w:rPr>
          <w:rFonts w:ascii="Arial" w:hAnsi="Arial" w:cs="Arial"/>
          <w:sz w:val="24"/>
          <w:szCs w:val="24"/>
        </w:rPr>
        <w:t>At the clinical domain level reports are unchanged and the total achievement will be displayed including any income protected achievement</w:t>
      </w:r>
      <w:proofErr w:type="gramStart"/>
      <w:r w:rsidRPr="00C10B9D">
        <w:rPr>
          <w:rFonts w:ascii="Arial" w:hAnsi="Arial" w:cs="Arial"/>
          <w:sz w:val="24"/>
          <w:szCs w:val="24"/>
        </w:rPr>
        <w:t>..</w:t>
      </w:r>
      <w:proofErr w:type="gramEnd"/>
    </w:p>
    <w:p w:rsidR="00C10B9D" w:rsidRPr="00C10B9D" w:rsidRDefault="00C10B9D" w:rsidP="00C10B9D">
      <w:pPr>
        <w:rPr>
          <w:rFonts w:ascii="Arial" w:hAnsi="Arial" w:cs="Arial"/>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Indicator Level Reports</w:t>
      </w:r>
    </w:p>
    <w:p w:rsidR="00C10B9D" w:rsidRPr="00C10B9D" w:rsidRDefault="00C10B9D" w:rsidP="00C10B9D">
      <w:pPr>
        <w:rPr>
          <w:rFonts w:ascii="Arial" w:hAnsi="Arial" w:cs="Arial"/>
          <w:sz w:val="24"/>
          <w:szCs w:val="24"/>
        </w:rPr>
      </w:pPr>
      <w:r w:rsidRPr="00C10B9D">
        <w:rPr>
          <w:rFonts w:ascii="Arial" w:hAnsi="Arial" w:cs="Arial"/>
          <w:sz w:val="24"/>
          <w:szCs w:val="24"/>
        </w:rPr>
        <w:t xml:space="preserve">For conditional indicators data will display data as normal and are indicated in the Income Protected/Conditional column as ‘Conditional’. </w:t>
      </w:r>
    </w:p>
    <w:p w:rsidR="00C10B9D" w:rsidRPr="00C10B9D" w:rsidRDefault="00C10B9D" w:rsidP="00C10B9D">
      <w:pPr>
        <w:rPr>
          <w:rFonts w:ascii="Arial" w:hAnsi="Arial" w:cs="Arial"/>
          <w:sz w:val="24"/>
          <w:szCs w:val="24"/>
        </w:rPr>
      </w:pPr>
      <w:r w:rsidRPr="00C10B9D">
        <w:rPr>
          <w:rFonts w:ascii="Arial" w:hAnsi="Arial" w:cs="Arial"/>
          <w:sz w:val="24"/>
          <w:szCs w:val="24"/>
        </w:rPr>
        <w:lastRenderedPageBreak/>
        <w:t>For income protected indicators the numerator and denominator will be left blank as performance is based upon previous achievement.</w:t>
      </w:r>
    </w:p>
    <w:p w:rsidR="00C10B9D" w:rsidRPr="00C10B9D" w:rsidRDefault="00C10B9D" w:rsidP="00C10B9D">
      <w:pPr>
        <w:rPr>
          <w:rFonts w:ascii="Arial" w:hAnsi="Arial" w:cs="Arial"/>
          <w:sz w:val="24"/>
          <w:szCs w:val="24"/>
        </w:rPr>
      </w:pPr>
      <w:r w:rsidRPr="00C10B9D">
        <w:rPr>
          <w:rFonts w:ascii="Arial" w:hAnsi="Arial" w:cs="Arial"/>
          <w:sz w:val="24"/>
          <w:szCs w:val="24"/>
        </w:rPr>
        <w:t>Within the final drill down of the achievement summary report, for income protected indicators the summary will include historical performance data.</w:t>
      </w:r>
    </w:p>
    <w:p w:rsidR="00C10B9D" w:rsidRPr="00C10B9D" w:rsidRDefault="00C10B9D" w:rsidP="00C10B9D">
      <w:pPr>
        <w:rPr>
          <w:rFonts w:ascii="Arial" w:hAnsi="Arial" w:cs="Arial"/>
          <w:sz w:val="24"/>
          <w:szCs w:val="24"/>
        </w:rPr>
      </w:pPr>
    </w:p>
    <w:p w:rsidR="00C10B9D" w:rsidRPr="00C10B9D" w:rsidRDefault="00C10B9D" w:rsidP="00C10B9D">
      <w:pPr>
        <w:rPr>
          <w:rFonts w:ascii="Arial" w:hAnsi="Arial" w:cs="Arial"/>
          <w:sz w:val="24"/>
          <w:szCs w:val="24"/>
        </w:rPr>
      </w:pPr>
      <w:r w:rsidRPr="00C10B9D">
        <w:rPr>
          <w:rFonts w:ascii="Arial" w:hAnsi="Arial" w:cs="Arial"/>
          <w:sz w:val="24"/>
          <w:szCs w:val="24"/>
        </w:rPr>
        <w:drawing>
          <wp:inline distT="0" distB="0" distL="0" distR="0" wp14:anchorId="77908AE6" wp14:editId="7F2D86F2">
            <wp:extent cx="6515100" cy="2457450"/>
            <wp:effectExtent l="0" t="0" r="0" b="0"/>
            <wp:docPr id="2" name="Picture 2" descr="cid:image003.jpg@01D719B9.02B9E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719B9.02B9E3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515100" cy="2457450"/>
                    </a:xfrm>
                    <a:prstGeom prst="rect">
                      <a:avLst/>
                    </a:prstGeom>
                    <a:noFill/>
                    <a:ln>
                      <a:noFill/>
                    </a:ln>
                  </pic:spPr>
                </pic:pic>
              </a:graphicData>
            </a:graphic>
          </wp:inline>
        </w:drawing>
      </w:r>
    </w:p>
    <w:p w:rsidR="00C10B9D" w:rsidRPr="00C10B9D" w:rsidRDefault="00C10B9D" w:rsidP="00C10B9D">
      <w:pPr>
        <w:rPr>
          <w:rFonts w:ascii="Arial" w:hAnsi="Arial" w:cs="Arial"/>
          <w:sz w:val="24"/>
          <w:szCs w:val="24"/>
        </w:rPr>
      </w:pPr>
      <w:r w:rsidRPr="00C10B9D">
        <w:rPr>
          <w:rFonts w:ascii="Arial" w:hAnsi="Arial" w:cs="Arial"/>
          <w:sz w:val="24"/>
          <w:szCs w:val="24"/>
        </w:rPr>
        <w:t>Within the final drill down of the achievement summary report, for income protected indicators, the summary will include historical performance data on which the achievement will be based.</w:t>
      </w:r>
    </w:p>
    <w:p w:rsidR="00C10B9D" w:rsidRPr="00C10B9D" w:rsidRDefault="00C10B9D" w:rsidP="00C10B9D">
      <w:pPr>
        <w:rPr>
          <w:rFonts w:ascii="Arial" w:hAnsi="Arial" w:cs="Arial"/>
          <w:sz w:val="24"/>
          <w:szCs w:val="24"/>
        </w:rPr>
      </w:pPr>
    </w:p>
    <w:p w:rsidR="00C10B9D" w:rsidRPr="00C10B9D" w:rsidRDefault="00C10B9D" w:rsidP="00C10B9D">
      <w:pPr>
        <w:rPr>
          <w:rFonts w:ascii="Arial" w:hAnsi="Arial" w:cs="Arial"/>
          <w:sz w:val="24"/>
          <w:szCs w:val="24"/>
        </w:rPr>
      </w:pPr>
      <w:r w:rsidRPr="00C10B9D">
        <w:rPr>
          <w:rFonts w:ascii="Arial" w:hAnsi="Arial" w:cs="Arial"/>
          <w:sz w:val="24"/>
          <w:szCs w:val="24"/>
        </w:rPr>
        <w:lastRenderedPageBreak/>
        <w:drawing>
          <wp:inline distT="0" distB="0" distL="0" distR="0" wp14:anchorId="109EF99D" wp14:editId="3DDAADB7">
            <wp:extent cx="3752850" cy="4867275"/>
            <wp:effectExtent l="0" t="0" r="0" b="9525"/>
            <wp:docPr id="1" name="Picture 1" descr="cid:image004.png@01D719B9.02B9E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719B9.02B9E3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52850" cy="4867275"/>
                    </a:xfrm>
                    <a:prstGeom prst="rect">
                      <a:avLst/>
                    </a:prstGeom>
                    <a:noFill/>
                    <a:ln>
                      <a:noFill/>
                    </a:ln>
                  </pic:spPr>
                </pic:pic>
              </a:graphicData>
            </a:graphic>
          </wp:inline>
        </w:drawing>
      </w:r>
    </w:p>
    <w:p w:rsidR="00C10B9D" w:rsidRPr="00C10B9D" w:rsidRDefault="00C10B9D" w:rsidP="00C10B9D">
      <w:pPr>
        <w:rPr>
          <w:rFonts w:ascii="Arial" w:hAnsi="Arial" w:cs="Arial"/>
          <w:b/>
          <w:bCs/>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QOF extract timetable</w:t>
      </w:r>
    </w:p>
    <w:p w:rsidR="00C10B9D" w:rsidRPr="00C10B9D" w:rsidRDefault="00C10B9D" w:rsidP="00C10B9D">
      <w:pPr>
        <w:rPr>
          <w:rFonts w:ascii="Arial" w:hAnsi="Arial" w:cs="Arial"/>
          <w:sz w:val="24"/>
          <w:szCs w:val="24"/>
        </w:rPr>
      </w:pPr>
      <w:r w:rsidRPr="00C10B9D">
        <w:rPr>
          <w:rFonts w:ascii="Arial" w:hAnsi="Arial" w:cs="Arial"/>
          <w:sz w:val="24"/>
          <w:szCs w:val="24"/>
        </w:rPr>
        <w:lastRenderedPageBreak/>
        <w:t>The below timetable shows the dates for the upcoming QOF year-end 20/21 extract</w:t>
      </w:r>
    </w:p>
    <w:p w:rsidR="00C10B9D" w:rsidRPr="00C10B9D" w:rsidRDefault="00C10B9D" w:rsidP="00C10B9D">
      <w:pPr>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4927"/>
        <w:gridCol w:w="4927"/>
      </w:tblGrid>
      <w:tr w:rsidR="00C10B9D" w:rsidRPr="00C10B9D" w:rsidTr="00C10B9D">
        <w:tc>
          <w:tcPr>
            <w:tcW w:w="49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Extraction window</w:t>
            </w:r>
          </w:p>
        </w:tc>
        <w:tc>
          <w:tcPr>
            <w:tcW w:w="49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Thursday 1 April to Friday 2 April (2 days)</w:t>
            </w:r>
          </w:p>
        </w:tc>
      </w:tr>
      <w:tr w:rsidR="00C10B9D" w:rsidRPr="00C10B9D" w:rsidTr="00C10B9D">
        <w:tc>
          <w:tcPr>
            <w:tcW w:w="4927"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Achievement and Aspiration calculations</w:t>
            </w:r>
          </w:p>
        </w:tc>
        <w:tc>
          <w:tcPr>
            <w:tcW w:w="492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Tuesday 6</w:t>
            </w:r>
            <w:r w:rsidRPr="00C10B9D">
              <w:rPr>
                <w:rFonts w:ascii="Arial" w:hAnsi="Arial" w:cs="Arial"/>
                <w:sz w:val="24"/>
                <w:szCs w:val="24"/>
                <w:vertAlign w:val="superscript"/>
              </w:rPr>
              <w:t>th</w:t>
            </w:r>
            <w:r w:rsidRPr="00C10B9D">
              <w:rPr>
                <w:rFonts w:ascii="Arial" w:hAnsi="Arial" w:cs="Arial"/>
                <w:sz w:val="24"/>
                <w:szCs w:val="24"/>
              </w:rPr>
              <w:t xml:space="preserve"> April </w:t>
            </w:r>
          </w:p>
        </w:tc>
        <w:bookmarkStart w:id="0" w:name="_GoBack"/>
        <w:bookmarkEnd w:id="0"/>
      </w:tr>
      <w:tr w:rsidR="00C10B9D" w:rsidRPr="00C10B9D" w:rsidTr="00C10B9D">
        <w:tc>
          <w:tcPr>
            <w:tcW w:w="49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Achievement available to view and declare in CQRS</w:t>
            </w:r>
          </w:p>
        </w:tc>
        <w:tc>
          <w:tcPr>
            <w:tcW w:w="49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By Wednesday 7</w:t>
            </w:r>
            <w:r w:rsidRPr="00C10B9D">
              <w:rPr>
                <w:rFonts w:ascii="Arial" w:hAnsi="Arial" w:cs="Arial"/>
                <w:sz w:val="24"/>
                <w:szCs w:val="24"/>
                <w:vertAlign w:val="superscript"/>
              </w:rPr>
              <w:t>th</w:t>
            </w:r>
            <w:r w:rsidRPr="00C10B9D">
              <w:rPr>
                <w:rFonts w:ascii="Arial" w:hAnsi="Arial" w:cs="Arial"/>
                <w:sz w:val="24"/>
                <w:szCs w:val="24"/>
              </w:rPr>
              <w:t xml:space="preserve"> April </w:t>
            </w:r>
          </w:p>
        </w:tc>
      </w:tr>
    </w:tbl>
    <w:p w:rsidR="00C10B9D" w:rsidRPr="00C10B9D" w:rsidRDefault="00C10B9D" w:rsidP="00C10B9D">
      <w:pPr>
        <w:rPr>
          <w:rFonts w:ascii="Arial" w:hAnsi="Arial" w:cs="Arial"/>
          <w:sz w:val="24"/>
          <w:szCs w:val="24"/>
        </w:rPr>
      </w:pPr>
    </w:p>
    <w:p w:rsidR="00C10B9D" w:rsidRPr="00C10B9D" w:rsidRDefault="00C10B9D" w:rsidP="00C10B9D">
      <w:pPr>
        <w:rPr>
          <w:rFonts w:ascii="Arial" w:hAnsi="Arial" w:cs="Arial"/>
          <w:sz w:val="24"/>
          <w:szCs w:val="24"/>
        </w:rPr>
      </w:pPr>
      <w:r w:rsidRPr="00C10B9D">
        <w:rPr>
          <w:rFonts w:ascii="Arial" w:hAnsi="Arial" w:cs="Arial"/>
          <w:sz w:val="24"/>
          <w:szCs w:val="24"/>
        </w:rPr>
        <w:t>We will distribute a further update following extractions to inform practices if the data collection has been successful. It will also advise what action needs to be taken to receive payment if your data is not available in CQRS.</w:t>
      </w:r>
    </w:p>
    <w:p w:rsidR="00C10B9D" w:rsidRPr="00C10B9D" w:rsidRDefault="00C10B9D" w:rsidP="00C10B9D">
      <w:pPr>
        <w:rPr>
          <w:rFonts w:ascii="Arial" w:hAnsi="Arial" w:cs="Arial"/>
          <w:b/>
          <w:bCs/>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Achievement summary report</w:t>
      </w:r>
    </w:p>
    <w:p w:rsidR="00C10B9D" w:rsidRPr="00C10B9D" w:rsidRDefault="00C10B9D" w:rsidP="00C10B9D">
      <w:pPr>
        <w:rPr>
          <w:rFonts w:ascii="Arial" w:hAnsi="Arial" w:cs="Arial"/>
          <w:sz w:val="24"/>
          <w:szCs w:val="24"/>
        </w:rPr>
      </w:pPr>
      <w:r w:rsidRPr="00C10B9D">
        <w:rPr>
          <w:rFonts w:ascii="Arial" w:hAnsi="Arial" w:cs="Arial"/>
          <w:sz w:val="24"/>
          <w:szCs w:val="24"/>
        </w:rPr>
        <w:t>You will be notified when within the CQRS system once your practice’s achievement has been calculated. Once complete, you are able to run the achievement summary report for QOF to view your achievement. Guidance is available in the FAQs on our website.</w:t>
      </w:r>
    </w:p>
    <w:p w:rsidR="00C10B9D" w:rsidRPr="00C10B9D" w:rsidRDefault="00C10B9D" w:rsidP="00C10B9D">
      <w:pPr>
        <w:rPr>
          <w:rFonts w:ascii="Arial" w:hAnsi="Arial" w:cs="Arial"/>
          <w:b/>
          <w:bCs/>
          <w:sz w:val="24"/>
          <w:szCs w:val="24"/>
        </w:rPr>
      </w:pPr>
    </w:p>
    <w:p w:rsidR="00C10B9D" w:rsidRPr="00C10B9D" w:rsidRDefault="00C10B9D" w:rsidP="00C10B9D">
      <w:pPr>
        <w:rPr>
          <w:rFonts w:ascii="Arial" w:hAnsi="Arial" w:cs="Arial"/>
          <w:b/>
          <w:bCs/>
          <w:sz w:val="24"/>
          <w:szCs w:val="24"/>
        </w:rPr>
      </w:pPr>
      <w:r w:rsidRPr="00C10B9D">
        <w:rPr>
          <w:rFonts w:ascii="Arial" w:hAnsi="Arial" w:cs="Arial"/>
          <w:b/>
          <w:bCs/>
          <w:sz w:val="24"/>
          <w:szCs w:val="24"/>
        </w:rPr>
        <w:t>Year-end user support</w:t>
      </w:r>
    </w:p>
    <w:p w:rsidR="00C10B9D" w:rsidRPr="00C10B9D" w:rsidRDefault="00C10B9D" w:rsidP="00C10B9D">
      <w:pPr>
        <w:rPr>
          <w:rFonts w:ascii="Arial" w:hAnsi="Arial" w:cs="Arial"/>
          <w:sz w:val="24"/>
          <w:szCs w:val="24"/>
        </w:rPr>
      </w:pPr>
      <w:r w:rsidRPr="00C10B9D">
        <w:rPr>
          <w:rFonts w:ascii="Arial" w:hAnsi="Arial" w:cs="Arial"/>
          <w:sz w:val="24"/>
          <w:szCs w:val="24"/>
        </w:rPr>
        <w:t>If your query is not resolved through the year-end specific FAQs on our website, assistance is available via the contacts below:</w:t>
      </w:r>
    </w:p>
    <w:p w:rsidR="00C10B9D" w:rsidRPr="00C10B9D" w:rsidRDefault="00C10B9D" w:rsidP="00C10B9D">
      <w:pPr>
        <w:rPr>
          <w:rFonts w:ascii="Arial" w:hAnsi="Arial" w:cs="Arial"/>
          <w:sz w:val="24"/>
          <w:szCs w:val="24"/>
        </w:rPr>
      </w:pPr>
    </w:p>
    <w:tbl>
      <w:tblPr>
        <w:tblW w:w="9854" w:type="dxa"/>
        <w:tblCellMar>
          <w:left w:w="0" w:type="dxa"/>
          <w:right w:w="0" w:type="dxa"/>
        </w:tblCellMar>
        <w:tblLook w:val="04A0" w:firstRow="1" w:lastRow="0" w:firstColumn="1" w:lastColumn="0" w:noHBand="0" w:noVBand="1"/>
      </w:tblPr>
      <w:tblGrid>
        <w:gridCol w:w="3681"/>
        <w:gridCol w:w="6173"/>
      </w:tblGrid>
      <w:tr w:rsidR="00C10B9D" w:rsidRPr="00C10B9D" w:rsidTr="00C10B9D">
        <w:tc>
          <w:tcPr>
            <w:tcW w:w="36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b/>
                <w:bCs/>
                <w:sz w:val="24"/>
                <w:szCs w:val="24"/>
              </w:rPr>
            </w:pPr>
            <w:r w:rsidRPr="00C10B9D">
              <w:rPr>
                <w:rFonts w:ascii="Arial" w:hAnsi="Arial" w:cs="Arial"/>
                <w:b/>
                <w:bCs/>
                <w:sz w:val="24"/>
                <w:szCs w:val="24"/>
              </w:rPr>
              <w:t>CQRS Support Team:</w:t>
            </w:r>
          </w:p>
        </w:tc>
        <w:tc>
          <w:tcPr>
            <w:tcW w:w="61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sz w:val="24"/>
                <w:szCs w:val="24"/>
              </w:rPr>
            </w:pPr>
            <w:hyperlink r:id="rId15" w:history="1">
              <w:r w:rsidRPr="00C10B9D">
                <w:rPr>
                  <w:rStyle w:val="Hyperlink"/>
                  <w:rFonts w:ascii="Arial" w:hAnsi="Arial" w:cs="Arial"/>
                  <w:sz w:val="24"/>
                  <w:szCs w:val="24"/>
                </w:rPr>
                <w:t>support@cqrs.co.uk</w:t>
              </w:r>
            </w:hyperlink>
            <w:r w:rsidRPr="00C10B9D">
              <w:rPr>
                <w:rFonts w:ascii="Arial" w:hAnsi="Arial" w:cs="Arial"/>
                <w:sz w:val="24"/>
                <w:szCs w:val="24"/>
              </w:rPr>
              <w:t xml:space="preserve">, 0330 124 4039, 8am-6pm Mon-Fri </w:t>
            </w:r>
            <w:r w:rsidRPr="00C10B9D">
              <w:rPr>
                <w:rFonts w:ascii="Arial" w:hAnsi="Arial" w:cs="Arial"/>
                <w:sz w:val="24"/>
                <w:szCs w:val="24"/>
              </w:rPr>
              <w:lastRenderedPageBreak/>
              <w:t>(excl. bank holidays).</w:t>
            </w:r>
          </w:p>
        </w:tc>
      </w:tr>
      <w:tr w:rsidR="00C10B9D" w:rsidRPr="00C10B9D" w:rsidTr="00C10B9D">
        <w:tc>
          <w:tcPr>
            <w:tcW w:w="368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lastRenderedPageBreak/>
              <w:t>Contract/policy queries:</w:t>
            </w:r>
          </w:p>
        </w:tc>
        <w:tc>
          <w:tcPr>
            <w:tcW w:w="61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rPr>
                <w:rFonts w:ascii="Arial" w:hAnsi="Arial" w:cs="Arial"/>
                <w:sz w:val="24"/>
                <w:szCs w:val="24"/>
              </w:rPr>
            </w:pPr>
            <w:hyperlink r:id="rId16" w:history="1">
              <w:r w:rsidRPr="00C10B9D">
                <w:rPr>
                  <w:rStyle w:val="Hyperlink"/>
                  <w:rFonts w:ascii="Arial" w:hAnsi="Arial" w:cs="Arial"/>
                  <w:sz w:val="24"/>
                  <w:szCs w:val="24"/>
                </w:rPr>
                <w:t>england.gpcontracts@nhs.net</w:t>
              </w:r>
            </w:hyperlink>
            <w:r w:rsidRPr="00C10B9D">
              <w:rPr>
                <w:rFonts w:ascii="Arial" w:hAnsi="Arial" w:cs="Arial"/>
                <w:sz w:val="24"/>
                <w:szCs w:val="24"/>
              </w:rPr>
              <w:t xml:space="preserve"> (NHS England)</w:t>
            </w:r>
          </w:p>
        </w:tc>
      </w:tr>
      <w:tr w:rsidR="00C10B9D" w:rsidRPr="00C10B9D" w:rsidTr="00C10B9D">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Training:</w:t>
            </w:r>
          </w:p>
        </w:tc>
        <w:tc>
          <w:tcPr>
            <w:tcW w:w="6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sz w:val="24"/>
                <w:szCs w:val="24"/>
              </w:rPr>
            </w:pPr>
            <w:hyperlink r:id="rId17" w:history="1">
              <w:r w:rsidRPr="00C10B9D">
                <w:rPr>
                  <w:rStyle w:val="Hyperlink"/>
                  <w:rFonts w:ascii="Arial" w:hAnsi="Arial" w:cs="Arial"/>
                  <w:sz w:val="24"/>
                  <w:szCs w:val="24"/>
                </w:rPr>
                <w:t>CQRS Training</w:t>
              </w:r>
            </w:hyperlink>
          </w:p>
        </w:tc>
      </w:tr>
      <w:tr w:rsidR="00C10B9D" w:rsidRPr="00C10B9D" w:rsidTr="00C10B9D">
        <w:tc>
          <w:tcPr>
            <w:tcW w:w="3681"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System:</w:t>
            </w:r>
          </w:p>
        </w:tc>
        <w:tc>
          <w:tcPr>
            <w:tcW w:w="61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C10B9D" w:rsidRPr="00C10B9D" w:rsidRDefault="00C10B9D" w:rsidP="00C10B9D">
            <w:pPr>
              <w:rPr>
                <w:rFonts w:ascii="Arial" w:hAnsi="Arial" w:cs="Arial"/>
                <w:sz w:val="24"/>
                <w:szCs w:val="24"/>
              </w:rPr>
            </w:pPr>
            <w:hyperlink r:id="rId18" w:history="1">
              <w:r w:rsidRPr="00C10B9D">
                <w:rPr>
                  <w:rStyle w:val="Hyperlink"/>
                  <w:rFonts w:ascii="Arial" w:hAnsi="Arial" w:cs="Arial"/>
                  <w:sz w:val="24"/>
                  <w:szCs w:val="24"/>
                </w:rPr>
                <w:t>CQRS log in</w:t>
              </w:r>
            </w:hyperlink>
          </w:p>
        </w:tc>
      </w:tr>
      <w:tr w:rsidR="00C10B9D" w:rsidRPr="00C10B9D" w:rsidTr="00C10B9D">
        <w:tc>
          <w:tcPr>
            <w:tcW w:w="3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sz w:val="24"/>
                <w:szCs w:val="24"/>
              </w:rPr>
            </w:pPr>
            <w:r w:rsidRPr="00C10B9D">
              <w:rPr>
                <w:rFonts w:ascii="Arial" w:hAnsi="Arial" w:cs="Arial"/>
                <w:sz w:val="24"/>
                <w:szCs w:val="24"/>
              </w:rPr>
              <w:t>Web:</w:t>
            </w:r>
          </w:p>
        </w:tc>
        <w:tc>
          <w:tcPr>
            <w:tcW w:w="61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10B9D" w:rsidRPr="00C10B9D" w:rsidRDefault="00C10B9D" w:rsidP="00C10B9D">
            <w:pPr>
              <w:rPr>
                <w:rFonts w:ascii="Arial" w:hAnsi="Arial" w:cs="Arial"/>
                <w:sz w:val="24"/>
                <w:szCs w:val="24"/>
              </w:rPr>
            </w:pPr>
            <w:hyperlink r:id="rId19" w:history="1">
              <w:r w:rsidRPr="00C10B9D">
                <w:rPr>
                  <w:rStyle w:val="Hyperlink"/>
                  <w:rFonts w:ascii="Arial" w:hAnsi="Arial" w:cs="Arial"/>
                  <w:sz w:val="24"/>
                  <w:szCs w:val="24"/>
                </w:rPr>
                <w:t>CQRS</w:t>
              </w:r>
            </w:hyperlink>
          </w:p>
        </w:tc>
      </w:tr>
    </w:tbl>
    <w:p w:rsidR="00C10B9D" w:rsidRPr="00C10B9D" w:rsidRDefault="00C10B9D" w:rsidP="00C10B9D">
      <w:pPr>
        <w:rPr>
          <w:rFonts w:ascii="Arial" w:hAnsi="Arial" w:cs="Arial"/>
          <w:sz w:val="24"/>
          <w:szCs w:val="24"/>
        </w:rPr>
      </w:pPr>
    </w:p>
    <w:p w:rsidR="00792808" w:rsidRPr="00C10B9D" w:rsidRDefault="00792808">
      <w:pPr>
        <w:rPr>
          <w:rFonts w:ascii="Arial" w:hAnsi="Arial" w:cs="Arial"/>
          <w:sz w:val="24"/>
          <w:szCs w:val="24"/>
        </w:rPr>
      </w:pPr>
    </w:p>
    <w:sectPr w:rsidR="00792808" w:rsidRPr="00C10B9D" w:rsidSect="00C10B9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642A"/>
    <w:multiLevelType w:val="multilevel"/>
    <w:tmpl w:val="EE3032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4533D6"/>
    <w:multiLevelType w:val="multilevel"/>
    <w:tmpl w:val="D2909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3B2B8E"/>
    <w:multiLevelType w:val="multilevel"/>
    <w:tmpl w:val="5FB414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9D"/>
    <w:rsid w:val="00792808"/>
    <w:rsid w:val="00C1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B9D"/>
    <w:rPr>
      <w:color w:val="0000FF" w:themeColor="hyperlink"/>
      <w:u w:val="single"/>
    </w:rPr>
  </w:style>
  <w:style w:type="paragraph" w:styleId="BalloonText">
    <w:name w:val="Balloon Text"/>
    <w:basedOn w:val="Normal"/>
    <w:link w:val="BalloonTextChar"/>
    <w:uiPriority w:val="99"/>
    <w:semiHidden/>
    <w:unhideWhenUsed/>
    <w:rsid w:val="00C10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B9D"/>
    <w:rPr>
      <w:color w:val="0000FF" w:themeColor="hyperlink"/>
      <w:u w:val="single"/>
    </w:rPr>
  </w:style>
  <w:style w:type="paragraph" w:styleId="BalloonText">
    <w:name w:val="Balloon Text"/>
    <w:basedOn w:val="Normal"/>
    <w:link w:val="BalloonTextChar"/>
    <w:uiPriority w:val="99"/>
    <w:semiHidden/>
    <w:unhideWhenUsed/>
    <w:rsid w:val="00C10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19B9.02B9E3A0" TargetMode="External"/><Relationship Id="rId13" Type="http://schemas.openxmlformats.org/officeDocument/2006/relationships/image" Target="media/image4.png"/><Relationship Id="rId18" Type="http://schemas.openxmlformats.org/officeDocument/2006/relationships/hyperlink" Target="https://login.cqrs.nhs.uk/cas/logi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image003.jpg@01D719B9.02B9E3A0" TargetMode="External"/><Relationship Id="rId17" Type="http://schemas.openxmlformats.org/officeDocument/2006/relationships/hyperlink" Target="file:///\\SCW.XSWHealth.nhs.uk\SCW\Home\michael.knight\Documents\academy.midlandsandlancashirecsu.nhs.uk\cqrs" TargetMode="External"/><Relationship Id="rId2" Type="http://schemas.openxmlformats.org/officeDocument/2006/relationships/styles" Target="styles.xml"/><Relationship Id="rId16" Type="http://schemas.openxmlformats.org/officeDocument/2006/relationships/hyperlink" Target="mailto:england.gpcontracts@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ngland.nhs.uk/coronavirus/wp-content/uploads/sites/52/2020/03/C0713-202021-General-Medical-Services-GMS-contract-Quality-and-Outcomes-Framework-QOF-Guidance.pdf"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upport@cqrs.co.uk" TargetMode="External"/><Relationship Id="rId10" Type="http://schemas.openxmlformats.org/officeDocument/2006/relationships/image" Target="cid:image002.jpg@01D719B9.02B9E3A0" TargetMode="External"/><Relationship Id="rId19" Type="http://schemas.openxmlformats.org/officeDocument/2006/relationships/hyperlink" Target="https://welcome.cqrs.nhs.uk/qof.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4.png@01D719B9.02B9E3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1</cp:revision>
  <dcterms:created xsi:type="dcterms:W3CDTF">2021-03-19T08:48:00Z</dcterms:created>
  <dcterms:modified xsi:type="dcterms:W3CDTF">2021-03-19T08:55:00Z</dcterms:modified>
</cp:coreProperties>
</file>