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28" w:rsidRPr="002A2728" w:rsidRDefault="002A2728" w:rsidP="002A2728">
      <w:pPr>
        <w:rPr>
          <w:rFonts w:ascii="Arial" w:hAnsi="Arial" w:cs="Arial"/>
          <w:b/>
        </w:rPr>
      </w:pPr>
      <w:bookmarkStart w:id="0" w:name="_GoBack"/>
      <w:r w:rsidRPr="002A2728">
        <w:rPr>
          <w:rFonts w:ascii="Arial" w:hAnsi="Arial" w:cs="Arial"/>
          <w:b/>
        </w:rPr>
        <w:t>Guidance on Investment and Impact Fund Indicators</w:t>
      </w:r>
    </w:p>
    <w:bookmarkEnd w:id="0"/>
    <w:p w:rsidR="002A2728" w:rsidRDefault="002A2728" w:rsidP="002A2728">
      <w:pPr>
        <w:rPr>
          <w:rFonts w:ascii="Arial" w:hAnsi="Arial" w:cs="Arial"/>
        </w:rPr>
      </w:pPr>
    </w:p>
    <w:p w:rsidR="002A2728" w:rsidRDefault="002A2728" w:rsidP="002A2728">
      <w:pPr>
        <w:rPr>
          <w:rFonts w:ascii="Arial" w:hAnsi="Arial" w:cs="Arial"/>
        </w:rPr>
      </w:pPr>
      <w:r>
        <w:rPr>
          <w:rFonts w:ascii="Arial" w:hAnsi="Arial" w:cs="Arial"/>
        </w:rPr>
        <w:t xml:space="preserve">We have received more guidance on the Investment and Impact Fund Indicators, as part of the Primary Care Network DES. </w:t>
      </w:r>
    </w:p>
    <w:p w:rsidR="002A2728" w:rsidRDefault="002A2728" w:rsidP="002A2728">
      <w:pPr>
        <w:rPr>
          <w:rFonts w:ascii="Arial" w:hAnsi="Arial" w:cs="Arial"/>
        </w:rPr>
      </w:pPr>
    </w:p>
    <w:p w:rsidR="002A2728" w:rsidRDefault="002A2728" w:rsidP="002A2728">
      <w:pPr>
        <w:rPr>
          <w:rFonts w:ascii="Arial" w:hAnsi="Arial" w:cs="Arial"/>
        </w:rPr>
      </w:pPr>
      <w:r>
        <w:rPr>
          <w:rFonts w:ascii="Arial" w:hAnsi="Arial" w:cs="Arial"/>
        </w:rPr>
        <w:t xml:space="preserve">PCN indicators achievement points and achievement payments will be extracted from GP systems through the CQRS system and work in a similar fashion to QOF year-end. Before payments can be made </w:t>
      </w:r>
    </w:p>
    <w:p w:rsidR="002A2728" w:rsidRDefault="002A2728" w:rsidP="002A2728">
      <w:pPr>
        <w:pStyle w:val="ListParagraph"/>
        <w:numPr>
          <w:ilvl w:val="0"/>
          <w:numId w:val="1"/>
        </w:numPr>
        <w:rPr>
          <w:rFonts w:ascii="Arial" w:hAnsi="Arial" w:cs="Arial"/>
        </w:rPr>
      </w:pPr>
      <w:r>
        <w:rPr>
          <w:rFonts w:ascii="Arial" w:hAnsi="Arial" w:cs="Arial"/>
        </w:rPr>
        <w:t xml:space="preserve">PCNs must declare these data and calculations, and </w:t>
      </w:r>
    </w:p>
    <w:p w:rsidR="002A2728" w:rsidRDefault="002A2728" w:rsidP="002A2728">
      <w:pPr>
        <w:pStyle w:val="ListParagraph"/>
        <w:numPr>
          <w:ilvl w:val="0"/>
          <w:numId w:val="1"/>
        </w:numPr>
        <w:rPr>
          <w:rFonts w:ascii="Arial" w:hAnsi="Arial" w:cs="Arial"/>
        </w:rPr>
      </w:pPr>
      <w:proofErr w:type="gramStart"/>
      <w:r>
        <w:rPr>
          <w:rFonts w:ascii="Arial" w:hAnsi="Arial" w:cs="Arial"/>
        </w:rPr>
        <w:t>these</w:t>
      </w:r>
      <w:proofErr w:type="gramEnd"/>
      <w:r>
        <w:rPr>
          <w:rFonts w:ascii="Arial" w:hAnsi="Arial" w:cs="Arial"/>
        </w:rPr>
        <w:t xml:space="preserve"> declarations must receive commissioner and financial approval. </w:t>
      </w:r>
    </w:p>
    <w:p w:rsidR="002A2728" w:rsidRDefault="002A2728" w:rsidP="002A2728">
      <w:pPr>
        <w:ind w:left="720"/>
        <w:rPr>
          <w:rFonts w:ascii="Arial" w:hAnsi="Arial" w:cs="Arial"/>
        </w:rPr>
      </w:pPr>
    </w:p>
    <w:p w:rsidR="002A2728" w:rsidRDefault="002A2728" w:rsidP="002A2728">
      <w:pPr>
        <w:rPr>
          <w:rFonts w:ascii="Arial" w:hAnsi="Arial" w:cs="Arial"/>
        </w:rPr>
      </w:pPr>
      <w:r>
        <w:rPr>
          <w:rFonts w:ascii="Arial" w:hAnsi="Arial" w:cs="Arial"/>
        </w:rPr>
        <w:t xml:space="preserve">For avoidance of doubt, ‘declaration’ means that a PCN must confirm that: </w:t>
      </w:r>
    </w:p>
    <w:p w:rsidR="002A2728" w:rsidRDefault="002A2728" w:rsidP="002A2728">
      <w:pPr>
        <w:ind w:left="720" w:firstLine="720"/>
        <w:rPr>
          <w:rFonts w:ascii="Arial" w:hAnsi="Arial" w:cs="Arial"/>
        </w:rPr>
      </w:pPr>
      <w:r>
        <w:rPr>
          <w:rFonts w:ascii="Arial" w:hAnsi="Arial" w:cs="Arial"/>
        </w:rPr>
        <w:t xml:space="preserve">a. The data extracted from GP systems is an accurate summary of its performance in relation to the indicators. </w:t>
      </w:r>
    </w:p>
    <w:p w:rsidR="002A2728" w:rsidRDefault="002A2728" w:rsidP="002A2728">
      <w:pPr>
        <w:ind w:left="720" w:firstLine="720"/>
        <w:rPr>
          <w:rFonts w:ascii="Arial" w:hAnsi="Arial" w:cs="Arial"/>
        </w:rPr>
      </w:pPr>
      <w:r>
        <w:rPr>
          <w:rFonts w:ascii="Arial" w:hAnsi="Arial" w:cs="Arial"/>
        </w:rPr>
        <w:t>b. Any calculations performed in relation to data extracted from GP systems are also accurate.</w:t>
      </w:r>
    </w:p>
    <w:p w:rsidR="002A2728" w:rsidRDefault="002A2728" w:rsidP="002A2728">
      <w:pPr>
        <w:rPr>
          <w:rFonts w:ascii="Arial" w:hAnsi="Arial" w:cs="Arial"/>
        </w:rPr>
      </w:pPr>
    </w:p>
    <w:p w:rsidR="002A2728" w:rsidRDefault="002A2728" w:rsidP="002A2728">
      <w:pPr>
        <w:rPr>
          <w:rFonts w:ascii="Arial" w:hAnsi="Arial" w:cs="Arial"/>
          <w:u w:val="single"/>
        </w:rPr>
      </w:pPr>
      <w:r>
        <w:rPr>
          <w:rFonts w:ascii="Arial" w:hAnsi="Arial" w:cs="Arial"/>
          <w:u w:val="single"/>
        </w:rPr>
        <w:t>Actions</w:t>
      </w:r>
    </w:p>
    <w:p w:rsidR="002A2728" w:rsidRDefault="002A2728" w:rsidP="002A2728">
      <w:pPr>
        <w:rPr>
          <w:rFonts w:ascii="Arial" w:hAnsi="Arial" w:cs="Arial"/>
        </w:rPr>
      </w:pPr>
      <w:r>
        <w:rPr>
          <w:rFonts w:ascii="Arial" w:hAnsi="Arial" w:cs="Arial"/>
        </w:rPr>
        <w:t xml:space="preserve">In the meanwhile PCN’s are being asked to: </w:t>
      </w:r>
    </w:p>
    <w:p w:rsidR="002A2728" w:rsidRDefault="002A2728" w:rsidP="002A2728">
      <w:pPr>
        <w:rPr>
          <w:rFonts w:ascii="Arial" w:hAnsi="Arial" w:cs="Arial"/>
        </w:rPr>
      </w:pPr>
    </w:p>
    <w:p w:rsidR="002A2728" w:rsidRDefault="002A2728" w:rsidP="002A2728">
      <w:pPr>
        <w:pStyle w:val="ListParagraph"/>
        <w:numPr>
          <w:ilvl w:val="0"/>
          <w:numId w:val="2"/>
        </w:numPr>
        <w:rPr>
          <w:rFonts w:ascii="Arial" w:hAnsi="Arial" w:cs="Arial"/>
        </w:rPr>
      </w:pPr>
      <w:r>
        <w:rPr>
          <w:rFonts w:ascii="Arial" w:hAnsi="Arial" w:cs="Arial"/>
        </w:rPr>
        <w:t>Nominate two Nominated Persons to their commissioner, who will have the power to make declarations on behalf of the PCN. For avoidance of doubt, declaration of IIF data and calculations will occur at PCN not practice level, so the Nominated Persons will be required to confirm with each Core Network Practice of their PCN that the data extracted in respect of their practice is correct.</w:t>
      </w:r>
    </w:p>
    <w:p w:rsidR="002A2728" w:rsidRDefault="002A2728" w:rsidP="002A2728">
      <w:pPr>
        <w:pStyle w:val="ListParagraph"/>
        <w:numPr>
          <w:ilvl w:val="0"/>
          <w:numId w:val="2"/>
        </w:numPr>
        <w:rPr>
          <w:rFonts w:ascii="Arial" w:hAnsi="Arial" w:cs="Arial"/>
        </w:rPr>
      </w:pPr>
      <w:r>
        <w:rPr>
          <w:rFonts w:ascii="Arial" w:hAnsi="Arial" w:cs="Arial"/>
        </w:rPr>
        <w:t>By nominating the Nominated Persons to the commissioner, each Core Network Practice of the PCN confirms that:</w:t>
      </w:r>
    </w:p>
    <w:p w:rsidR="002A2728" w:rsidRDefault="002A2728" w:rsidP="002A2728">
      <w:pPr>
        <w:pStyle w:val="ListParagraph"/>
        <w:numPr>
          <w:ilvl w:val="1"/>
          <w:numId w:val="2"/>
        </w:numPr>
        <w:rPr>
          <w:rFonts w:ascii="Arial" w:hAnsi="Arial" w:cs="Arial"/>
        </w:rPr>
      </w:pPr>
      <w:r>
        <w:rPr>
          <w:rFonts w:ascii="Arial" w:hAnsi="Arial" w:cs="Arial"/>
        </w:rPr>
        <w:t xml:space="preserve">it has agreed the nomination of the Nominated Persons; </w:t>
      </w:r>
    </w:p>
    <w:p w:rsidR="002A2728" w:rsidRDefault="002A2728" w:rsidP="002A2728">
      <w:pPr>
        <w:pStyle w:val="ListParagraph"/>
        <w:numPr>
          <w:ilvl w:val="1"/>
          <w:numId w:val="2"/>
        </w:numPr>
        <w:rPr>
          <w:rFonts w:ascii="Arial" w:hAnsi="Arial" w:cs="Arial"/>
        </w:rPr>
      </w:pPr>
      <w:r>
        <w:rPr>
          <w:rFonts w:ascii="Arial" w:hAnsi="Arial" w:cs="Arial"/>
        </w:rPr>
        <w:t xml:space="preserve">in respect of the data requiring declaration, it consents to that data being disclosed to the Nominated Persons; and </w:t>
      </w:r>
    </w:p>
    <w:p w:rsidR="002A2728" w:rsidRDefault="002A2728" w:rsidP="002A2728">
      <w:pPr>
        <w:pStyle w:val="ListParagraph"/>
        <w:numPr>
          <w:ilvl w:val="1"/>
          <w:numId w:val="2"/>
        </w:numPr>
        <w:rPr>
          <w:rFonts w:ascii="Arial" w:hAnsi="Arial" w:cs="Arial"/>
        </w:rPr>
      </w:pPr>
      <w:r>
        <w:rPr>
          <w:rFonts w:ascii="Arial" w:hAnsi="Arial" w:cs="Arial"/>
        </w:rPr>
        <w:t> </w:t>
      </w:r>
      <w:proofErr w:type="gramStart"/>
      <w:r>
        <w:rPr>
          <w:rFonts w:ascii="Arial" w:hAnsi="Arial" w:cs="Arial"/>
        </w:rPr>
        <w:t>it</w:t>
      </w:r>
      <w:proofErr w:type="gramEnd"/>
      <w:r>
        <w:rPr>
          <w:rFonts w:ascii="Arial" w:hAnsi="Arial" w:cs="Arial"/>
        </w:rPr>
        <w:t xml:space="preserve"> has ensured that the Nominated Persons have the necessary authority and authorisation to review and declare the relevant data to the commissioner on its behalf.</w:t>
      </w:r>
    </w:p>
    <w:p w:rsidR="002A2728" w:rsidRDefault="002A2728" w:rsidP="002A2728">
      <w:pPr>
        <w:rPr>
          <w:rFonts w:ascii="Arial" w:hAnsi="Arial" w:cs="Arial"/>
        </w:rPr>
      </w:pPr>
    </w:p>
    <w:p w:rsidR="002A2728" w:rsidRDefault="002A2728" w:rsidP="002A2728">
      <w:pPr>
        <w:rPr>
          <w:rFonts w:ascii="Arial" w:hAnsi="Arial" w:cs="Arial"/>
        </w:rPr>
      </w:pPr>
      <w:r>
        <w:rPr>
          <w:rFonts w:ascii="Arial" w:hAnsi="Arial" w:cs="Arial"/>
        </w:rPr>
        <w:t xml:space="preserve">In order to enable timely declaration, please ensure you have nominated two persons to your commissioner by 1st May 2021. </w:t>
      </w:r>
    </w:p>
    <w:p w:rsidR="002A2728" w:rsidRDefault="002A2728" w:rsidP="002A2728"/>
    <w:p w:rsidR="002A2728" w:rsidRDefault="002A2728" w:rsidP="002A2728">
      <w:pPr>
        <w:rPr>
          <w:rFonts w:ascii="Arial" w:hAnsi="Arial" w:cs="Arial"/>
          <w:b/>
          <w:bCs/>
        </w:rPr>
      </w:pPr>
      <w:r>
        <w:rPr>
          <w:rFonts w:ascii="Arial" w:hAnsi="Arial" w:cs="Arial"/>
          <w:b/>
          <w:bCs/>
        </w:rPr>
        <w:t>FAQ’s</w:t>
      </w:r>
    </w:p>
    <w:p w:rsidR="002A2728" w:rsidRDefault="002A2728" w:rsidP="002A2728">
      <w:pPr>
        <w:rPr>
          <w:rFonts w:ascii="Arial" w:hAnsi="Arial" w:cs="Arial"/>
        </w:rPr>
      </w:pPr>
      <w:r>
        <w:rPr>
          <w:rFonts w:ascii="Arial" w:hAnsi="Arial" w:cs="Arial"/>
        </w:rPr>
        <w:t>Please see the following guidance in relation to the PCN service.</w:t>
      </w:r>
    </w:p>
    <w:p w:rsidR="002A2728" w:rsidRDefault="002A2728" w:rsidP="002A2728">
      <w:pPr>
        <w:rPr>
          <w:rFonts w:ascii="Arial" w:hAnsi="Arial" w:cs="Arial"/>
        </w:rPr>
      </w:pPr>
      <w:hyperlink r:id="rId6" w:history="1">
        <w:r>
          <w:rPr>
            <w:rStyle w:val="Hyperlink"/>
            <w:rFonts w:ascii="Arial" w:hAnsi="Arial" w:cs="Arial"/>
          </w:rPr>
          <w:t>https://academy.midlandsandlancashirecsu.nhs.uk/media/1493/pcns-for-service-providers.pdf</w:t>
        </w:r>
      </w:hyperlink>
    </w:p>
    <w:p w:rsidR="001468ED" w:rsidRDefault="002A2728"/>
    <w:sectPr w:rsidR="00146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238A8"/>
    <w:multiLevelType w:val="hybridMultilevel"/>
    <w:tmpl w:val="719AB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47A2AD4"/>
    <w:multiLevelType w:val="hybridMultilevel"/>
    <w:tmpl w:val="11CAC714"/>
    <w:lvl w:ilvl="0" w:tplc="ED7C5B8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78"/>
    <w:rsid w:val="002A2728"/>
    <w:rsid w:val="00530778"/>
    <w:rsid w:val="008A0D64"/>
    <w:rsid w:val="00A5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728"/>
    <w:rPr>
      <w:color w:val="0000FF"/>
      <w:u w:val="single"/>
    </w:rPr>
  </w:style>
  <w:style w:type="paragraph" w:styleId="ListParagraph">
    <w:name w:val="List Paragraph"/>
    <w:basedOn w:val="Normal"/>
    <w:uiPriority w:val="34"/>
    <w:qFormat/>
    <w:rsid w:val="002A272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728"/>
    <w:rPr>
      <w:color w:val="0000FF"/>
      <w:u w:val="single"/>
    </w:rPr>
  </w:style>
  <w:style w:type="paragraph" w:styleId="ListParagraph">
    <w:name w:val="List Paragraph"/>
    <w:basedOn w:val="Normal"/>
    <w:uiPriority w:val="34"/>
    <w:qFormat/>
    <w:rsid w:val="002A27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y.midlandsandlancashirecsu.nhs.uk/media/1493/pcns-for-service-provider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Dom (Banes CCG)</dc:creator>
  <cp:lastModifiedBy>Hall Dom (Banes CCG)</cp:lastModifiedBy>
  <cp:revision>2</cp:revision>
  <dcterms:created xsi:type="dcterms:W3CDTF">2021-04-16T11:09:00Z</dcterms:created>
  <dcterms:modified xsi:type="dcterms:W3CDTF">2021-04-16T11:09:00Z</dcterms:modified>
</cp:coreProperties>
</file>