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0F" w:rsidRPr="00DE640F" w:rsidRDefault="00DE640F" w:rsidP="00DE640F">
      <w:pPr>
        <w:rPr>
          <w:rFonts w:ascii="Arial" w:hAnsi="Arial" w:cs="Arial"/>
          <w:b/>
          <w:bCs/>
          <w:sz w:val="28"/>
          <w:szCs w:val="28"/>
        </w:rPr>
      </w:pPr>
      <w:bookmarkStart w:id="0" w:name="_GoBack"/>
      <w:r w:rsidRPr="00DE640F">
        <w:rPr>
          <w:rFonts w:ascii="Arial" w:hAnsi="Arial" w:cs="Arial"/>
          <w:b/>
          <w:bCs/>
          <w:sz w:val="28"/>
          <w:szCs w:val="28"/>
        </w:rPr>
        <w:t>Notice from the Department of Health and Social Care: Ordering additional adult flu vaccine stock</w:t>
      </w:r>
    </w:p>
    <w:bookmarkEnd w:id="0"/>
    <w:p w:rsidR="00DE640F" w:rsidRPr="00DE640F" w:rsidRDefault="00DE640F" w:rsidP="00DE640F">
      <w:pPr>
        <w:rPr>
          <w:rFonts w:ascii="Arial" w:hAnsi="Arial" w:cs="Arial"/>
          <w:sz w:val="28"/>
          <w:szCs w:val="28"/>
        </w:rPr>
      </w:pPr>
    </w:p>
    <w:p w:rsidR="00DE640F" w:rsidRDefault="00DE640F" w:rsidP="00DE640F">
      <w:pPr>
        <w:rPr>
          <w:rFonts w:ascii="Arial" w:hAnsi="Arial" w:cs="Arial"/>
        </w:rPr>
      </w:pPr>
      <w:r>
        <w:rPr>
          <w:rFonts w:ascii="Arial" w:hAnsi="Arial" w:cs="Arial"/>
        </w:rPr>
        <w:t xml:space="preserve">On 9 October, </w:t>
      </w:r>
      <w:hyperlink r:id="rId5" w:history="1">
        <w:r>
          <w:rPr>
            <w:rStyle w:val="Hyperlink"/>
            <w:rFonts w:ascii="Arial" w:hAnsi="Arial" w:cs="Arial"/>
          </w:rPr>
          <w:t>DHSC wrote to GP practices</w:t>
        </w:r>
      </w:hyperlink>
      <w:r>
        <w:rPr>
          <w:rFonts w:ascii="Arial" w:hAnsi="Arial" w:cs="Arial"/>
          <w:color w:val="44546A"/>
        </w:rPr>
        <w:t xml:space="preserve"> </w:t>
      </w:r>
      <w:r>
        <w:rPr>
          <w:rFonts w:ascii="Arial" w:hAnsi="Arial" w:cs="Arial"/>
        </w:rPr>
        <w:t xml:space="preserve">to confirm the process by which GPs will be able to access the additional adult flu vaccine stock secured to support the expanded vaccination programme this season. GP practices are now invited to begin ordering or pre-ordering this supply from manufacturers. </w:t>
      </w:r>
    </w:p>
    <w:p w:rsidR="00DE640F" w:rsidRDefault="00DE640F" w:rsidP="00DE640F">
      <w:pPr>
        <w:rPr>
          <w:rFonts w:ascii="Arial" w:hAnsi="Arial" w:cs="Arial"/>
        </w:rPr>
      </w:pPr>
    </w:p>
    <w:p w:rsidR="00DE640F" w:rsidRDefault="00DE640F" w:rsidP="00DE640F">
      <w:pPr>
        <w:rPr>
          <w:rFonts w:ascii="Arial" w:hAnsi="Arial" w:cs="Arial"/>
        </w:rPr>
      </w:pPr>
      <w:r>
        <w:rPr>
          <w:rFonts w:ascii="Arial" w:hAnsi="Arial" w:cs="Arial"/>
        </w:rPr>
        <w:t>The earlier guidance note set out when vaccines would be available over October, November and December. In the first instance, GP practices are invited to order or pre-order the following vaccines:</w:t>
      </w:r>
    </w:p>
    <w:p w:rsidR="00DE640F" w:rsidRDefault="00DE640F" w:rsidP="00DE640F">
      <w:pPr>
        <w:rPr>
          <w:rFonts w:ascii="Arial" w:hAnsi="Arial" w:cs="Arial"/>
        </w:rPr>
      </w:pPr>
    </w:p>
    <w:tbl>
      <w:tblPr>
        <w:tblW w:w="7380" w:type="dxa"/>
        <w:tblCellMar>
          <w:left w:w="0" w:type="dxa"/>
          <w:right w:w="0" w:type="dxa"/>
        </w:tblCellMar>
        <w:tblLook w:val="04A0" w:firstRow="1" w:lastRow="0" w:firstColumn="1" w:lastColumn="0" w:noHBand="0" w:noVBand="1"/>
      </w:tblPr>
      <w:tblGrid>
        <w:gridCol w:w="1396"/>
        <w:gridCol w:w="1495"/>
        <w:gridCol w:w="1929"/>
        <w:gridCol w:w="1119"/>
        <w:gridCol w:w="711"/>
        <w:gridCol w:w="730"/>
      </w:tblGrid>
      <w:tr w:rsidR="00DE640F" w:rsidTr="00DE640F">
        <w:tc>
          <w:tcPr>
            <w:tcW w:w="1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r>
              <w:rPr>
                <w:rFonts w:ascii="Arial" w:hAnsi="Arial" w:cs="Arial"/>
                <w:sz w:val="20"/>
                <w:szCs w:val="20"/>
              </w:rPr>
              <w:t>Manufacturer</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r>
              <w:rPr>
                <w:rFonts w:ascii="Arial" w:hAnsi="Arial" w:cs="Arial"/>
                <w:sz w:val="20"/>
                <w:szCs w:val="20"/>
              </w:rPr>
              <w:t>Product</w:t>
            </w:r>
          </w:p>
        </w:tc>
        <w:tc>
          <w:tcPr>
            <w:tcW w:w="1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18"/>
                <w:szCs w:val="18"/>
              </w:rPr>
            </w:pPr>
            <w:r>
              <w:rPr>
                <w:rFonts w:ascii="Arial" w:hAnsi="Arial" w:cs="Arial"/>
                <w:sz w:val="20"/>
                <w:szCs w:val="20"/>
              </w:rPr>
              <w:t xml:space="preserve">Age profile in the adult programme </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18"/>
                <w:szCs w:val="18"/>
              </w:rPr>
            </w:pPr>
            <w:r>
              <w:rPr>
                <w:rFonts w:ascii="Arial" w:hAnsi="Arial" w:cs="Arial"/>
                <w:sz w:val="20"/>
                <w:szCs w:val="20"/>
              </w:rPr>
              <w:t>Expected first deliveries to DHSC</w:t>
            </w:r>
          </w:p>
        </w:tc>
        <w:tc>
          <w:tcPr>
            <w:tcW w:w="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r>
              <w:rPr>
                <w:rFonts w:ascii="Arial" w:hAnsi="Arial" w:cs="Arial"/>
                <w:sz w:val="20"/>
                <w:szCs w:val="20"/>
              </w:rPr>
              <w:t>Min order</w:t>
            </w:r>
          </w:p>
        </w:tc>
        <w:tc>
          <w:tcPr>
            <w:tcW w:w="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r>
              <w:rPr>
                <w:rFonts w:ascii="Arial" w:hAnsi="Arial" w:cs="Arial"/>
                <w:sz w:val="20"/>
                <w:szCs w:val="20"/>
              </w:rPr>
              <w:t>Max order</w:t>
            </w:r>
          </w:p>
        </w:tc>
      </w:tr>
      <w:tr w:rsidR="00DE640F" w:rsidTr="00DE640F">
        <w:tc>
          <w:tcPr>
            <w:tcW w:w="13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proofErr w:type="spellStart"/>
            <w:r>
              <w:rPr>
                <w:rFonts w:ascii="Arial" w:hAnsi="Arial" w:cs="Arial"/>
                <w:sz w:val="20"/>
                <w:szCs w:val="20"/>
              </w:rPr>
              <w:t>Seqirus</w:t>
            </w:r>
            <w:proofErr w:type="spellEnd"/>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18"/>
                <w:szCs w:val="18"/>
              </w:rPr>
            </w:pPr>
            <w:proofErr w:type="spellStart"/>
            <w:r>
              <w:rPr>
                <w:rFonts w:ascii="Arial" w:hAnsi="Arial" w:cs="Arial"/>
                <w:sz w:val="20"/>
                <w:szCs w:val="20"/>
              </w:rPr>
              <w:t>Flucelvax</w:t>
            </w:r>
            <w:proofErr w:type="spellEnd"/>
            <w:r>
              <w:rPr>
                <w:rFonts w:ascii="Arial" w:hAnsi="Arial" w:cs="Arial"/>
                <w:sz w:val="20"/>
                <w:szCs w:val="20"/>
              </w:rPr>
              <w:t>® Tetra</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18"/>
                <w:szCs w:val="18"/>
              </w:rPr>
            </w:pPr>
            <w:r>
              <w:rPr>
                <w:rFonts w:ascii="Arial" w:hAnsi="Arial" w:cs="Arial"/>
                <w:sz w:val="20"/>
                <w:szCs w:val="20"/>
              </w:rPr>
              <w:t xml:space="preserve">18 years to 64 years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18"/>
                <w:szCs w:val="18"/>
              </w:rPr>
            </w:pPr>
            <w:r>
              <w:rPr>
                <w:rFonts w:ascii="Arial" w:hAnsi="Arial" w:cs="Arial"/>
                <w:sz w:val="20"/>
                <w:szCs w:val="20"/>
              </w:rPr>
              <w:t>w/c 30</w:t>
            </w:r>
            <w:r>
              <w:rPr>
                <w:rFonts w:ascii="Arial" w:hAnsi="Arial" w:cs="Arial"/>
                <w:sz w:val="20"/>
                <w:szCs w:val="20"/>
                <w:vertAlign w:val="superscript"/>
              </w:rPr>
              <w:t>th</w:t>
            </w:r>
            <w:r>
              <w:rPr>
                <w:rFonts w:ascii="Arial" w:hAnsi="Arial" w:cs="Arial"/>
                <w:sz w:val="20"/>
                <w:szCs w:val="20"/>
              </w:rPr>
              <w:t xml:space="preserve"> Nov</w:t>
            </w:r>
          </w:p>
        </w:tc>
        <w:tc>
          <w:tcPr>
            <w:tcW w:w="71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r>
              <w:rPr>
                <w:rFonts w:ascii="Arial" w:hAnsi="Arial" w:cs="Arial"/>
                <w:sz w:val="20"/>
                <w:szCs w:val="20"/>
              </w:rPr>
              <w:t>150</w:t>
            </w:r>
          </w:p>
        </w:tc>
        <w:tc>
          <w:tcPr>
            <w:tcW w:w="73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r>
              <w:rPr>
                <w:rFonts w:ascii="Arial" w:hAnsi="Arial" w:cs="Arial"/>
                <w:sz w:val="20"/>
                <w:szCs w:val="20"/>
              </w:rPr>
              <w:t>1000</w:t>
            </w:r>
          </w:p>
        </w:tc>
      </w:tr>
      <w:tr w:rsidR="00DE640F" w:rsidTr="00DE640F">
        <w:tc>
          <w:tcPr>
            <w:tcW w:w="0" w:type="auto"/>
            <w:vMerge/>
            <w:tcBorders>
              <w:top w:val="nil"/>
              <w:left w:val="single" w:sz="8" w:space="0" w:color="auto"/>
              <w:bottom w:val="single" w:sz="8" w:space="0" w:color="auto"/>
              <w:right w:val="single" w:sz="8" w:space="0" w:color="auto"/>
            </w:tcBorders>
            <w:vAlign w:val="center"/>
            <w:hideMark/>
          </w:tcPr>
          <w:p w:rsidR="00DE640F" w:rsidRDefault="00DE640F">
            <w:pPr>
              <w:rPr>
                <w:rFonts w:ascii="Arial" w:hAnsi="Arial" w:cs="Arial"/>
                <w:sz w:val="20"/>
                <w:szCs w:val="2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18"/>
                <w:szCs w:val="18"/>
              </w:rPr>
            </w:pPr>
            <w:proofErr w:type="spellStart"/>
            <w:r>
              <w:rPr>
                <w:rFonts w:ascii="Arial" w:hAnsi="Arial" w:cs="Arial"/>
                <w:sz w:val="20"/>
                <w:szCs w:val="20"/>
              </w:rPr>
              <w:t>Adjuvanted</w:t>
            </w:r>
            <w:proofErr w:type="spellEnd"/>
            <w:r>
              <w:rPr>
                <w:rFonts w:ascii="Arial" w:hAnsi="Arial" w:cs="Arial"/>
                <w:sz w:val="20"/>
                <w:szCs w:val="20"/>
              </w:rPr>
              <w:t xml:space="preserve"> Trivalent Influenza Vaccine</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18"/>
                <w:szCs w:val="18"/>
              </w:rPr>
            </w:pPr>
            <w:r>
              <w:rPr>
                <w:rFonts w:ascii="Arial" w:hAnsi="Arial" w:cs="Arial"/>
                <w:sz w:val="20"/>
                <w:szCs w:val="20"/>
              </w:rPr>
              <w:t xml:space="preserve">65 years and above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r>
              <w:rPr>
                <w:rFonts w:ascii="Arial" w:hAnsi="Arial" w:cs="Arial"/>
                <w:sz w:val="20"/>
                <w:szCs w:val="20"/>
              </w:rPr>
              <w:t>w/c 19</w:t>
            </w:r>
            <w:r>
              <w:rPr>
                <w:rFonts w:ascii="Arial" w:hAnsi="Arial" w:cs="Arial"/>
                <w:sz w:val="20"/>
                <w:szCs w:val="20"/>
                <w:vertAlign w:val="superscript"/>
              </w:rPr>
              <w:t>th</w:t>
            </w:r>
            <w:r>
              <w:rPr>
                <w:rFonts w:ascii="Arial" w:hAnsi="Arial" w:cs="Arial"/>
                <w:sz w:val="20"/>
                <w:szCs w:val="20"/>
              </w:rPr>
              <w:t xml:space="preserve"> Oct</w:t>
            </w:r>
          </w:p>
        </w:tc>
        <w:tc>
          <w:tcPr>
            <w:tcW w:w="0" w:type="auto"/>
            <w:vMerge/>
            <w:tcBorders>
              <w:top w:val="nil"/>
              <w:left w:val="nil"/>
              <w:bottom w:val="single" w:sz="8" w:space="0" w:color="auto"/>
              <w:right w:val="single" w:sz="8" w:space="0" w:color="auto"/>
            </w:tcBorders>
            <w:vAlign w:val="center"/>
            <w:hideMark/>
          </w:tcPr>
          <w:p w:rsidR="00DE640F" w:rsidRDefault="00DE640F">
            <w:pPr>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DE640F" w:rsidRDefault="00DE640F">
            <w:pPr>
              <w:rPr>
                <w:rFonts w:ascii="Arial" w:hAnsi="Arial" w:cs="Arial"/>
                <w:sz w:val="20"/>
                <w:szCs w:val="20"/>
              </w:rPr>
            </w:pPr>
          </w:p>
        </w:tc>
      </w:tr>
      <w:tr w:rsidR="00DE640F" w:rsidTr="00DE640F">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r>
              <w:rPr>
                <w:rFonts w:ascii="Arial" w:hAnsi="Arial" w:cs="Arial"/>
                <w:sz w:val="20"/>
                <w:szCs w:val="20"/>
              </w:rPr>
              <w:t>Mylan</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18"/>
                <w:szCs w:val="18"/>
              </w:rPr>
            </w:pPr>
            <w:proofErr w:type="spellStart"/>
            <w:r>
              <w:rPr>
                <w:rFonts w:ascii="Arial" w:hAnsi="Arial" w:cs="Arial"/>
                <w:sz w:val="20"/>
                <w:szCs w:val="20"/>
              </w:rPr>
              <w:t>Quadrivalent</w:t>
            </w:r>
            <w:proofErr w:type="spellEnd"/>
            <w:r>
              <w:rPr>
                <w:rFonts w:ascii="Arial" w:hAnsi="Arial" w:cs="Arial"/>
                <w:sz w:val="20"/>
                <w:szCs w:val="20"/>
              </w:rPr>
              <w:t xml:space="preserve"> </w:t>
            </w:r>
            <w:proofErr w:type="spellStart"/>
            <w:r>
              <w:rPr>
                <w:rFonts w:ascii="Arial" w:hAnsi="Arial" w:cs="Arial"/>
                <w:sz w:val="20"/>
                <w:szCs w:val="20"/>
              </w:rPr>
              <w:t>Influvac</w:t>
            </w:r>
            <w:proofErr w:type="spellEnd"/>
            <w:r>
              <w:rPr>
                <w:rFonts w:ascii="Arial" w:hAnsi="Arial" w:cs="Arial"/>
                <w:sz w:val="20"/>
                <w:szCs w:val="20"/>
              </w:rPr>
              <w:t>® sub-unit Tetra</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18"/>
                <w:szCs w:val="18"/>
              </w:rPr>
            </w:pPr>
            <w:r>
              <w:rPr>
                <w:rFonts w:ascii="Arial" w:hAnsi="Arial" w:cs="Arial"/>
                <w:sz w:val="20"/>
                <w:szCs w:val="20"/>
              </w:rPr>
              <w:t>18 years to 64 years</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18"/>
                <w:szCs w:val="18"/>
              </w:rPr>
            </w:pPr>
            <w:r>
              <w:rPr>
                <w:rFonts w:ascii="Arial" w:hAnsi="Arial" w:cs="Arial"/>
                <w:sz w:val="20"/>
                <w:szCs w:val="20"/>
              </w:rPr>
              <w:t>w/c 9</w:t>
            </w:r>
            <w:r>
              <w:rPr>
                <w:rFonts w:ascii="Arial" w:hAnsi="Arial" w:cs="Arial"/>
                <w:sz w:val="20"/>
                <w:szCs w:val="20"/>
                <w:vertAlign w:val="superscript"/>
              </w:rPr>
              <w:t>th</w:t>
            </w:r>
            <w:r>
              <w:rPr>
                <w:rFonts w:ascii="Arial" w:hAnsi="Arial" w:cs="Arial"/>
                <w:sz w:val="20"/>
                <w:szCs w:val="20"/>
              </w:rPr>
              <w:t xml:space="preserve"> Nov</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r>
              <w:rPr>
                <w:rFonts w:ascii="Arial" w:hAnsi="Arial" w:cs="Arial"/>
                <w:sz w:val="20"/>
                <w:szCs w:val="20"/>
              </w:rPr>
              <w:t>30</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DE640F" w:rsidRDefault="00DE640F">
            <w:pPr>
              <w:rPr>
                <w:rFonts w:ascii="Arial" w:hAnsi="Arial" w:cs="Arial"/>
                <w:sz w:val="20"/>
                <w:szCs w:val="20"/>
              </w:rPr>
            </w:pPr>
            <w:r>
              <w:rPr>
                <w:rFonts w:ascii="Arial" w:hAnsi="Arial" w:cs="Arial"/>
                <w:sz w:val="20"/>
                <w:szCs w:val="20"/>
              </w:rPr>
              <w:t>1000</w:t>
            </w:r>
          </w:p>
        </w:tc>
      </w:tr>
    </w:tbl>
    <w:p w:rsidR="00DE640F" w:rsidRDefault="00DE640F" w:rsidP="00DE640F">
      <w:pPr>
        <w:rPr>
          <w:rFonts w:ascii="Arial" w:hAnsi="Arial" w:cs="Arial"/>
          <w:b/>
          <w:bCs/>
          <w:sz w:val="28"/>
          <w:szCs w:val="28"/>
        </w:rPr>
      </w:pPr>
    </w:p>
    <w:p w:rsidR="00DE640F" w:rsidRDefault="00DE640F" w:rsidP="00DE640F">
      <w:pPr>
        <w:rPr>
          <w:rFonts w:ascii="Arial" w:hAnsi="Arial" w:cs="Arial"/>
          <w:lang w:eastAsia="en-GB"/>
        </w:rPr>
      </w:pPr>
      <w:r>
        <w:rPr>
          <w:rFonts w:ascii="Arial" w:hAnsi="Arial" w:cs="Arial"/>
          <w:lang w:eastAsia="en-GB"/>
        </w:rPr>
        <w:t xml:space="preserve">If a GP practice has a provisional order with Sanofi for </w:t>
      </w:r>
      <w:proofErr w:type="spellStart"/>
      <w:r>
        <w:rPr>
          <w:rFonts w:ascii="Arial" w:hAnsi="Arial" w:cs="Arial"/>
          <w:lang w:eastAsia="en-GB"/>
        </w:rPr>
        <w:t>QIVe</w:t>
      </w:r>
      <w:proofErr w:type="spellEnd"/>
      <w:r>
        <w:rPr>
          <w:rFonts w:ascii="Arial" w:hAnsi="Arial" w:cs="Arial"/>
          <w:lang w:eastAsia="en-GB"/>
        </w:rPr>
        <w:t xml:space="preserve">, please contact them to confirm this, before placing another order for </w:t>
      </w:r>
      <w:proofErr w:type="spellStart"/>
      <w:r>
        <w:rPr>
          <w:rFonts w:ascii="Arial" w:hAnsi="Arial" w:cs="Arial"/>
          <w:lang w:eastAsia="en-GB"/>
        </w:rPr>
        <w:t>QIVe</w:t>
      </w:r>
      <w:proofErr w:type="spellEnd"/>
      <w:r>
        <w:rPr>
          <w:rFonts w:ascii="Arial" w:hAnsi="Arial" w:cs="Arial"/>
          <w:lang w:eastAsia="en-GB"/>
        </w:rPr>
        <w:t xml:space="preserve"> for this cohort. </w:t>
      </w:r>
    </w:p>
    <w:p w:rsidR="00DE640F" w:rsidRDefault="00DE640F" w:rsidP="00DE640F">
      <w:pPr>
        <w:rPr>
          <w:rFonts w:ascii="Arial" w:hAnsi="Arial" w:cs="Arial"/>
          <w:lang w:eastAsia="en-GB"/>
        </w:rPr>
      </w:pPr>
      <w:r>
        <w:rPr>
          <w:rFonts w:ascii="Arial" w:hAnsi="Arial" w:cs="Arial"/>
          <w:lang w:eastAsia="en-GB"/>
        </w:rPr>
        <w:br/>
        <w:t>As set out in the guidance, on placing an order, GP practices will be asked by manufacturers to verify that stock is being ordered for NHS eligible patients or frontline social care workers, where there is a genuine shortage for this cohort.  Orders should only be placed where you have a shortfall in supply for existing eligible patients at this stage.  Further instruction on timing of extension of eligibility to all 50 to 64 year olds will follow and stock should not be ordered for this cohort at this stage. Practices should ensure they have read the guidance thoroughly before placing an order or pre-order.</w:t>
      </w:r>
    </w:p>
    <w:p w:rsidR="00DE640F" w:rsidRDefault="00DE640F" w:rsidP="00DE640F">
      <w:pPr>
        <w:rPr>
          <w:rFonts w:ascii="Arial" w:hAnsi="Arial" w:cs="Arial"/>
          <w:strike/>
          <w:lang w:eastAsia="en-GB"/>
        </w:rPr>
      </w:pPr>
    </w:p>
    <w:p w:rsidR="00DE640F" w:rsidRDefault="00DE640F" w:rsidP="00DE640F">
      <w:pPr>
        <w:rPr>
          <w:rFonts w:ascii="Arial" w:hAnsi="Arial" w:cs="Arial"/>
          <w:lang w:eastAsia="en-GB"/>
        </w:rPr>
      </w:pPr>
      <w:r>
        <w:rPr>
          <w:rFonts w:ascii="Arial" w:hAnsi="Arial" w:cs="Arial"/>
          <w:lang w:eastAsia="en-GB"/>
        </w:rPr>
        <w:t>A proportion of the central stock has been pre-allocated for community pharmacies and NHS Providers and further guidance on how they can access the stock will follow shortly.</w:t>
      </w:r>
    </w:p>
    <w:p w:rsidR="00DE640F" w:rsidRDefault="00DE640F" w:rsidP="00DE640F"/>
    <w:p w:rsidR="00915B4C" w:rsidRDefault="00915B4C"/>
    <w:sectPr w:rsidR="0091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0F"/>
    <w:rsid w:val="00915B4C"/>
    <w:rsid w:val="00DE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0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accessing-government-secured-flu-vaccines-guidance-for-g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1</cp:revision>
  <dcterms:created xsi:type="dcterms:W3CDTF">2020-10-23T06:57:00Z</dcterms:created>
  <dcterms:modified xsi:type="dcterms:W3CDTF">2020-10-23T06:58:00Z</dcterms:modified>
</cp:coreProperties>
</file>