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60F61" w14:textId="77777777" w:rsidR="00CE5BED" w:rsidRPr="00CE5BED" w:rsidRDefault="007A0035" w:rsidP="00CE5BED">
      <w:pPr>
        <w:jc w:val="center"/>
        <w:rPr>
          <w:b/>
          <w:sz w:val="24"/>
          <w:szCs w:val="24"/>
          <w:u w:val="single"/>
        </w:rPr>
      </w:pPr>
      <w:r w:rsidRPr="00CE5BED">
        <w:rPr>
          <w:b/>
          <w:sz w:val="24"/>
          <w:szCs w:val="24"/>
          <w:u w:val="single"/>
        </w:rPr>
        <w:t xml:space="preserve">Wiltshire &amp; Swindon Adult Community Eating Disorder Pressures Summary, </w:t>
      </w:r>
    </w:p>
    <w:p w14:paraId="558907D4" w14:textId="77777777" w:rsidR="007A0035" w:rsidRPr="00CE5BED" w:rsidRDefault="007A0035" w:rsidP="00CE5BED">
      <w:pPr>
        <w:jc w:val="center"/>
        <w:rPr>
          <w:b/>
          <w:sz w:val="24"/>
          <w:szCs w:val="24"/>
          <w:u w:val="single"/>
        </w:rPr>
      </w:pPr>
      <w:r w:rsidRPr="00CE5BED">
        <w:rPr>
          <w:b/>
          <w:sz w:val="24"/>
          <w:szCs w:val="24"/>
          <w:u w:val="single"/>
        </w:rPr>
        <w:t xml:space="preserve">Recovery </w:t>
      </w:r>
      <w:r w:rsidR="00CE5BED" w:rsidRPr="00CE5BED">
        <w:rPr>
          <w:b/>
          <w:sz w:val="24"/>
          <w:szCs w:val="24"/>
          <w:u w:val="single"/>
        </w:rPr>
        <w:t xml:space="preserve">Management </w:t>
      </w:r>
      <w:r w:rsidRPr="00CE5BED">
        <w:rPr>
          <w:b/>
          <w:sz w:val="24"/>
          <w:szCs w:val="24"/>
          <w:u w:val="single"/>
        </w:rPr>
        <w:t xml:space="preserve">Plan &amp; </w:t>
      </w:r>
      <w:r w:rsidR="00CE5BED" w:rsidRPr="00CE5BED">
        <w:rPr>
          <w:b/>
          <w:sz w:val="24"/>
          <w:szCs w:val="24"/>
          <w:u w:val="single"/>
        </w:rPr>
        <w:t xml:space="preserve">Referral </w:t>
      </w:r>
      <w:r w:rsidRPr="00CE5BED">
        <w:rPr>
          <w:b/>
          <w:sz w:val="24"/>
          <w:szCs w:val="24"/>
          <w:u w:val="single"/>
        </w:rPr>
        <w:t>Guidance</w:t>
      </w:r>
    </w:p>
    <w:p w14:paraId="04FE44AF" w14:textId="77777777" w:rsidR="007A0035" w:rsidRPr="00CE5BED" w:rsidRDefault="007A0035" w:rsidP="00F62CE7">
      <w:pPr>
        <w:rPr>
          <w:sz w:val="24"/>
          <w:szCs w:val="24"/>
        </w:rPr>
      </w:pPr>
    </w:p>
    <w:p w14:paraId="299D99EF" w14:textId="77777777" w:rsidR="007A0035" w:rsidRPr="00CE5BED" w:rsidRDefault="007A0035" w:rsidP="007A0035">
      <w:pPr>
        <w:rPr>
          <w:b/>
          <w:sz w:val="24"/>
          <w:szCs w:val="24"/>
        </w:rPr>
      </w:pPr>
      <w:r w:rsidRPr="00CE5BED">
        <w:rPr>
          <w:b/>
          <w:sz w:val="24"/>
          <w:szCs w:val="24"/>
        </w:rPr>
        <w:t xml:space="preserve">Root </w:t>
      </w:r>
      <w:r w:rsidR="003E064B" w:rsidRPr="00CE5BED">
        <w:rPr>
          <w:b/>
          <w:sz w:val="24"/>
          <w:szCs w:val="24"/>
        </w:rPr>
        <w:t>Cause Analysis of Service Pressures:</w:t>
      </w:r>
    </w:p>
    <w:p w14:paraId="1E272DAF" w14:textId="77777777" w:rsidR="007A0035" w:rsidRPr="00CE5BED" w:rsidRDefault="003E064B" w:rsidP="007A0035">
      <w:pPr>
        <w:pStyle w:val="ListParagraph"/>
        <w:numPr>
          <w:ilvl w:val="0"/>
          <w:numId w:val="4"/>
        </w:numPr>
        <w:spacing w:after="0" w:line="240" w:lineRule="auto"/>
        <w:contextualSpacing w:val="0"/>
        <w:rPr>
          <w:rFonts w:ascii="Calibri" w:hAnsi="Calibri" w:cs="Calibri"/>
          <w:sz w:val="24"/>
          <w:szCs w:val="24"/>
        </w:rPr>
      </w:pPr>
      <w:r w:rsidRPr="00CE5BED">
        <w:rPr>
          <w:rFonts w:ascii="Calibri" w:hAnsi="Calibri" w:cs="Calibri"/>
          <w:sz w:val="24"/>
          <w:szCs w:val="24"/>
        </w:rPr>
        <w:t>C</w:t>
      </w:r>
      <w:r w:rsidR="007A0035" w:rsidRPr="00CE5BED">
        <w:rPr>
          <w:rFonts w:ascii="Calibri" w:hAnsi="Calibri" w:cs="Calibri"/>
          <w:sz w:val="24"/>
          <w:szCs w:val="24"/>
        </w:rPr>
        <w:t>ovid</w:t>
      </w:r>
      <w:r w:rsidRPr="00CE5BED">
        <w:rPr>
          <w:rFonts w:ascii="Calibri" w:hAnsi="Calibri" w:cs="Calibri"/>
          <w:sz w:val="24"/>
          <w:szCs w:val="24"/>
        </w:rPr>
        <w:t>-19</w:t>
      </w:r>
      <w:r w:rsidR="007A0035" w:rsidRPr="00CE5BED">
        <w:rPr>
          <w:rFonts w:ascii="Calibri" w:hAnsi="Calibri" w:cs="Calibri"/>
          <w:sz w:val="24"/>
          <w:szCs w:val="24"/>
        </w:rPr>
        <w:t xml:space="preserve"> impact on individuals exacerbating ED</w:t>
      </w:r>
    </w:p>
    <w:p w14:paraId="60104D77" w14:textId="77777777" w:rsidR="007A0035" w:rsidRPr="00CE5BED" w:rsidRDefault="003E064B" w:rsidP="007A0035">
      <w:pPr>
        <w:pStyle w:val="ListParagraph"/>
        <w:numPr>
          <w:ilvl w:val="0"/>
          <w:numId w:val="4"/>
        </w:numPr>
        <w:spacing w:after="0" w:line="240" w:lineRule="auto"/>
        <w:contextualSpacing w:val="0"/>
        <w:rPr>
          <w:rFonts w:ascii="Calibri" w:hAnsi="Calibri" w:cs="Calibri"/>
          <w:sz w:val="24"/>
          <w:szCs w:val="24"/>
        </w:rPr>
      </w:pPr>
      <w:r w:rsidRPr="00CE5BED">
        <w:rPr>
          <w:rFonts w:ascii="Calibri" w:hAnsi="Calibri" w:cs="Calibri"/>
          <w:sz w:val="24"/>
          <w:szCs w:val="24"/>
        </w:rPr>
        <w:t>C</w:t>
      </w:r>
      <w:r w:rsidR="007A0035" w:rsidRPr="00CE5BED">
        <w:rPr>
          <w:rFonts w:ascii="Calibri" w:hAnsi="Calibri" w:cs="Calibri"/>
          <w:sz w:val="24"/>
          <w:szCs w:val="24"/>
        </w:rPr>
        <w:t>ovid</w:t>
      </w:r>
      <w:r w:rsidRPr="00CE5BED">
        <w:rPr>
          <w:rFonts w:ascii="Calibri" w:hAnsi="Calibri" w:cs="Calibri"/>
          <w:sz w:val="24"/>
          <w:szCs w:val="24"/>
        </w:rPr>
        <w:t>-19</w:t>
      </w:r>
      <w:r w:rsidR="007A0035" w:rsidRPr="00CE5BED">
        <w:rPr>
          <w:rFonts w:ascii="Calibri" w:hAnsi="Calibri" w:cs="Calibri"/>
          <w:sz w:val="24"/>
          <w:szCs w:val="24"/>
        </w:rPr>
        <w:t xml:space="preserve"> restrictions ceasing the ability to deliver outpatient/day service intervention, resulting in requirement to manage higher acuity in the community which is more time consuming </w:t>
      </w:r>
    </w:p>
    <w:p w14:paraId="6C78C597" w14:textId="77777777" w:rsidR="007A0035" w:rsidRPr="00CE5BED" w:rsidRDefault="007A0035" w:rsidP="007A0035">
      <w:pPr>
        <w:pStyle w:val="ListParagraph"/>
        <w:numPr>
          <w:ilvl w:val="0"/>
          <w:numId w:val="4"/>
        </w:numPr>
        <w:spacing w:after="0" w:line="240" w:lineRule="auto"/>
        <w:contextualSpacing w:val="0"/>
        <w:rPr>
          <w:rFonts w:ascii="Calibri" w:hAnsi="Calibri" w:cs="Calibri"/>
          <w:sz w:val="24"/>
          <w:szCs w:val="24"/>
        </w:rPr>
      </w:pPr>
      <w:r w:rsidRPr="00CE5BED">
        <w:rPr>
          <w:rFonts w:ascii="Calibri" w:hAnsi="Calibri" w:cs="Calibri"/>
          <w:sz w:val="24"/>
          <w:szCs w:val="24"/>
        </w:rPr>
        <w:t>x3 maternity leave from a team of 6.8</w:t>
      </w:r>
      <w:r w:rsidR="003E064B" w:rsidRPr="00CE5BED">
        <w:rPr>
          <w:rFonts w:ascii="Calibri" w:hAnsi="Calibri" w:cs="Calibri"/>
          <w:sz w:val="24"/>
          <w:szCs w:val="24"/>
        </w:rPr>
        <w:t xml:space="preserve"> WTE</w:t>
      </w:r>
    </w:p>
    <w:p w14:paraId="70411941" w14:textId="77777777" w:rsidR="007A0035" w:rsidRPr="00CE5BED" w:rsidRDefault="003E064B" w:rsidP="007A0035">
      <w:pPr>
        <w:pStyle w:val="ListParagraph"/>
        <w:numPr>
          <w:ilvl w:val="0"/>
          <w:numId w:val="4"/>
        </w:numPr>
        <w:spacing w:after="0" w:line="240" w:lineRule="auto"/>
        <w:contextualSpacing w:val="0"/>
        <w:rPr>
          <w:rFonts w:ascii="Calibri" w:hAnsi="Calibri" w:cs="Calibri"/>
          <w:sz w:val="24"/>
          <w:szCs w:val="24"/>
        </w:rPr>
      </w:pPr>
      <w:r w:rsidRPr="00CE5BED">
        <w:rPr>
          <w:rFonts w:ascii="Calibri" w:hAnsi="Calibri" w:cs="Calibri"/>
          <w:sz w:val="24"/>
          <w:szCs w:val="24"/>
        </w:rPr>
        <w:t>R</w:t>
      </w:r>
      <w:r w:rsidR="007A0035" w:rsidRPr="00CE5BED">
        <w:rPr>
          <w:rFonts w:ascii="Calibri" w:hAnsi="Calibri" w:cs="Calibri"/>
          <w:sz w:val="24"/>
          <w:szCs w:val="24"/>
        </w:rPr>
        <w:t xml:space="preserve">ecruitment challenges </w:t>
      </w:r>
    </w:p>
    <w:p w14:paraId="0C72C5EE" w14:textId="77777777" w:rsidR="003E064B" w:rsidRPr="00CE5BED" w:rsidRDefault="003E064B" w:rsidP="007A0035">
      <w:pPr>
        <w:pStyle w:val="ListParagraph"/>
        <w:numPr>
          <w:ilvl w:val="0"/>
          <w:numId w:val="4"/>
        </w:numPr>
        <w:spacing w:after="0" w:line="240" w:lineRule="auto"/>
        <w:contextualSpacing w:val="0"/>
        <w:rPr>
          <w:rFonts w:ascii="Calibri" w:hAnsi="Calibri" w:cs="Calibri"/>
          <w:sz w:val="24"/>
          <w:szCs w:val="24"/>
        </w:rPr>
      </w:pPr>
      <w:r w:rsidRPr="00CE5BED">
        <w:rPr>
          <w:rFonts w:ascii="Calibri" w:hAnsi="Calibri" w:cs="Calibri"/>
          <w:sz w:val="24"/>
          <w:szCs w:val="24"/>
        </w:rPr>
        <w:t>Pathway interface pressures between MH services for patients with disordered eating in the context of other MH conditions i.e. depression</w:t>
      </w:r>
      <w:r w:rsidR="007A0035" w:rsidRPr="00CE5BED">
        <w:rPr>
          <w:rFonts w:ascii="Calibri" w:hAnsi="Calibri" w:cs="Calibri"/>
          <w:sz w:val="24"/>
          <w:szCs w:val="24"/>
        </w:rPr>
        <w:t xml:space="preserve"> </w:t>
      </w:r>
    </w:p>
    <w:p w14:paraId="2A2003EB" w14:textId="77777777" w:rsidR="007A0035" w:rsidRPr="00CE5BED" w:rsidRDefault="007A0035" w:rsidP="00F62CE7">
      <w:pPr>
        <w:rPr>
          <w:sz w:val="24"/>
          <w:szCs w:val="24"/>
        </w:rPr>
      </w:pPr>
    </w:p>
    <w:p w14:paraId="29431AA6" w14:textId="77777777" w:rsidR="007A0035" w:rsidRPr="00CE5BED" w:rsidRDefault="00CE5BED" w:rsidP="00F62CE7">
      <w:pPr>
        <w:rPr>
          <w:b/>
          <w:sz w:val="24"/>
          <w:szCs w:val="24"/>
          <w:u w:val="single"/>
        </w:rPr>
      </w:pPr>
      <w:r w:rsidRPr="00CE5BED">
        <w:rPr>
          <w:b/>
          <w:sz w:val="24"/>
          <w:szCs w:val="24"/>
          <w:u w:val="single"/>
        </w:rPr>
        <w:t xml:space="preserve">Recovery </w:t>
      </w:r>
      <w:r w:rsidR="007A0035" w:rsidRPr="00CE5BED">
        <w:rPr>
          <w:b/>
          <w:sz w:val="24"/>
          <w:szCs w:val="24"/>
          <w:u w:val="single"/>
        </w:rPr>
        <w:t>Management Plan:</w:t>
      </w:r>
    </w:p>
    <w:p w14:paraId="0E6228B3" w14:textId="77777777" w:rsidR="003E064B" w:rsidRPr="00CE5BED" w:rsidRDefault="003E064B" w:rsidP="003E064B">
      <w:pPr>
        <w:pStyle w:val="ListParagraph"/>
        <w:numPr>
          <w:ilvl w:val="0"/>
          <w:numId w:val="6"/>
        </w:numPr>
        <w:rPr>
          <w:rFonts w:ascii="Calibri" w:hAnsi="Calibri" w:cs="Calibri"/>
          <w:b/>
          <w:sz w:val="24"/>
          <w:szCs w:val="24"/>
        </w:rPr>
      </w:pPr>
      <w:r w:rsidRPr="00CE5BED">
        <w:rPr>
          <w:rFonts w:ascii="Calibri" w:hAnsi="Calibri" w:cs="Calibri"/>
          <w:b/>
          <w:sz w:val="24"/>
          <w:szCs w:val="24"/>
        </w:rPr>
        <w:t>Risk stratification of waiting list</w:t>
      </w:r>
    </w:p>
    <w:p w14:paraId="66C01F0F" w14:textId="77777777" w:rsidR="003E064B" w:rsidRPr="00CE5BED" w:rsidRDefault="003E064B" w:rsidP="003E064B">
      <w:pPr>
        <w:pStyle w:val="ListParagraph"/>
        <w:numPr>
          <w:ilvl w:val="1"/>
          <w:numId w:val="6"/>
        </w:numPr>
        <w:rPr>
          <w:rFonts w:ascii="Calibri" w:hAnsi="Calibri" w:cs="Calibri"/>
          <w:sz w:val="24"/>
          <w:szCs w:val="24"/>
        </w:rPr>
      </w:pPr>
      <w:r w:rsidRPr="00CE5BED">
        <w:rPr>
          <w:rFonts w:ascii="Calibri" w:hAnsi="Calibri" w:cs="Calibri"/>
          <w:sz w:val="24"/>
          <w:szCs w:val="24"/>
        </w:rPr>
        <w:t>Assessment timescales for urgent and emergency referrals remains unaffected.</w:t>
      </w:r>
    </w:p>
    <w:p w14:paraId="73747FF4" w14:textId="77777777" w:rsidR="003E064B" w:rsidRPr="00CE5BED" w:rsidRDefault="007A0035" w:rsidP="00F62CE7">
      <w:pPr>
        <w:pStyle w:val="ListParagraph"/>
        <w:numPr>
          <w:ilvl w:val="1"/>
          <w:numId w:val="6"/>
        </w:numPr>
        <w:rPr>
          <w:rFonts w:ascii="Calibri" w:hAnsi="Calibri" w:cs="Calibri"/>
          <w:sz w:val="24"/>
          <w:szCs w:val="24"/>
        </w:rPr>
      </w:pPr>
      <w:r w:rsidRPr="00CE5BED">
        <w:rPr>
          <w:rFonts w:ascii="Calibri" w:hAnsi="Calibri" w:cs="Calibri"/>
          <w:sz w:val="24"/>
          <w:szCs w:val="24"/>
        </w:rPr>
        <w:t>OHFT will</w:t>
      </w:r>
      <w:r w:rsidR="00F62CE7" w:rsidRPr="00CE5BED">
        <w:rPr>
          <w:rFonts w:ascii="Calibri" w:hAnsi="Calibri" w:cs="Calibri"/>
          <w:sz w:val="24"/>
          <w:szCs w:val="24"/>
        </w:rPr>
        <w:t xml:space="preserve"> triage all </w:t>
      </w:r>
      <w:r w:rsidRPr="00CE5BED">
        <w:rPr>
          <w:rFonts w:ascii="Calibri" w:hAnsi="Calibri" w:cs="Calibri"/>
          <w:sz w:val="24"/>
          <w:szCs w:val="24"/>
        </w:rPr>
        <w:t>routine referrals</w:t>
      </w:r>
      <w:r w:rsidR="00F62CE7" w:rsidRPr="00CE5BED">
        <w:rPr>
          <w:rFonts w:ascii="Calibri" w:hAnsi="Calibri" w:cs="Calibri"/>
          <w:sz w:val="24"/>
          <w:szCs w:val="24"/>
        </w:rPr>
        <w:t xml:space="preserve"> in on a weekly basis to assess the individual’s clinical need, prioritise the more clinically vulnerable and personally make contact with each patient at the point of referral to ensure they know the service is holding them and will get to them as soon as they are able. </w:t>
      </w:r>
    </w:p>
    <w:p w14:paraId="575D96FF" w14:textId="77777777" w:rsidR="007A0035" w:rsidRPr="00CE5BED" w:rsidRDefault="00F62CE7" w:rsidP="00F62CE7">
      <w:pPr>
        <w:pStyle w:val="ListParagraph"/>
        <w:numPr>
          <w:ilvl w:val="1"/>
          <w:numId w:val="6"/>
        </w:numPr>
        <w:rPr>
          <w:rFonts w:ascii="Calibri" w:hAnsi="Calibri" w:cs="Calibri"/>
          <w:sz w:val="24"/>
          <w:szCs w:val="24"/>
        </w:rPr>
      </w:pPr>
      <w:r w:rsidRPr="00CE5BED">
        <w:rPr>
          <w:rFonts w:ascii="Calibri" w:hAnsi="Calibri" w:cs="Calibri"/>
          <w:sz w:val="24"/>
          <w:szCs w:val="24"/>
        </w:rPr>
        <w:t>Any patients who begin to struggle and falter in their trajectory will be re-assessed via OH</w:t>
      </w:r>
      <w:r w:rsidR="007A0035" w:rsidRPr="00CE5BED">
        <w:rPr>
          <w:rFonts w:ascii="Calibri" w:hAnsi="Calibri" w:cs="Calibri"/>
          <w:sz w:val="24"/>
          <w:szCs w:val="24"/>
        </w:rPr>
        <w:t>FT</w:t>
      </w:r>
      <w:r w:rsidRPr="00CE5BED">
        <w:rPr>
          <w:rFonts w:ascii="Calibri" w:hAnsi="Calibri" w:cs="Calibri"/>
          <w:sz w:val="24"/>
          <w:szCs w:val="24"/>
        </w:rPr>
        <w:t xml:space="preserve"> if they or their Health Care Professional (HCP) make contact. </w:t>
      </w:r>
    </w:p>
    <w:p w14:paraId="3C768915" w14:textId="77777777" w:rsidR="003E064B" w:rsidRPr="00CE5BED" w:rsidRDefault="003E064B" w:rsidP="003E064B">
      <w:pPr>
        <w:pStyle w:val="ListParagraph"/>
        <w:numPr>
          <w:ilvl w:val="0"/>
          <w:numId w:val="6"/>
        </w:numPr>
        <w:rPr>
          <w:rFonts w:ascii="Calibri" w:hAnsi="Calibri" w:cs="Calibri"/>
          <w:sz w:val="24"/>
          <w:szCs w:val="24"/>
        </w:rPr>
      </w:pPr>
      <w:r w:rsidRPr="00CE5BED">
        <w:rPr>
          <w:rFonts w:ascii="Calibri" w:hAnsi="Calibri" w:cs="Calibri"/>
          <w:b/>
          <w:sz w:val="24"/>
          <w:szCs w:val="24"/>
        </w:rPr>
        <w:t>Additional Resource &amp; Forms of Support</w:t>
      </w:r>
    </w:p>
    <w:p w14:paraId="2A75B94E" w14:textId="77777777" w:rsidR="003E064B" w:rsidRPr="00CE5BED" w:rsidRDefault="003E064B" w:rsidP="003E064B">
      <w:pPr>
        <w:pStyle w:val="ListParagraph"/>
        <w:numPr>
          <w:ilvl w:val="1"/>
          <w:numId w:val="6"/>
        </w:numPr>
        <w:rPr>
          <w:rFonts w:ascii="Calibri" w:hAnsi="Calibri" w:cs="Calibri"/>
          <w:sz w:val="24"/>
          <w:szCs w:val="24"/>
        </w:rPr>
      </w:pPr>
      <w:r w:rsidRPr="00CE5BED">
        <w:rPr>
          <w:rFonts w:ascii="Calibri" w:hAnsi="Calibri" w:cs="Calibri"/>
          <w:sz w:val="24"/>
          <w:szCs w:val="24"/>
        </w:rPr>
        <w:t>Recruitment of</w:t>
      </w:r>
      <w:r w:rsidR="00F62CE7" w:rsidRPr="00CE5BED">
        <w:rPr>
          <w:rFonts w:ascii="Calibri" w:hAnsi="Calibri" w:cs="Calibri"/>
          <w:sz w:val="24"/>
          <w:szCs w:val="24"/>
        </w:rPr>
        <w:t xml:space="preserve"> Bank</w:t>
      </w:r>
      <w:r w:rsidRPr="00CE5BED">
        <w:rPr>
          <w:rFonts w:ascii="Calibri" w:hAnsi="Calibri" w:cs="Calibri"/>
          <w:sz w:val="24"/>
          <w:szCs w:val="24"/>
        </w:rPr>
        <w:t>/Agency</w:t>
      </w:r>
      <w:r w:rsidR="00F62CE7" w:rsidRPr="00CE5BED">
        <w:rPr>
          <w:rFonts w:ascii="Calibri" w:hAnsi="Calibri" w:cs="Calibri"/>
          <w:sz w:val="24"/>
          <w:szCs w:val="24"/>
        </w:rPr>
        <w:t xml:space="preserve"> Service to attempt to recruit short or long term specialist nurses</w:t>
      </w:r>
      <w:r w:rsidRPr="00CE5BED">
        <w:rPr>
          <w:rFonts w:ascii="Calibri" w:hAnsi="Calibri" w:cs="Calibri"/>
          <w:sz w:val="24"/>
          <w:szCs w:val="24"/>
        </w:rPr>
        <w:t>/AHPs.</w:t>
      </w:r>
      <w:r w:rsidR="00F62CE7" w:rsidRPr="00CE5BED">
        <w:rPr>
          <w:rFonts w:ascii="Calibri" w:hAnsi="Calibri" w:cs="Calibri"/>
          <w:sz w:val="24"/>
          <w:szCs w:val="24"/>
        </w:rPr>
        <w:t xml:space="preserve"> </w:t>
      </w:r>
    </w:p>
    <w:p w14:paraId="0152B48A" w14:textId="77777777" w:rsidR="003E064B" w:rsidRPr="00CE5BED" w:rsidRDefault="003E064B" w:rsidP="00F62CE7">
      <w:pPr>
        <w:pStyle w:val="ListParagraph"/>
        <w:numPr>
          <w:ilvl w:val="1"/>
          <w:numId w:val="6"/>
        </w:numPr>
        <w:rPr>
          <w:rFonts w:ascii="Calibri" w:hAnsi="Calibri" w:cs="Calibri"/>
          <w:sz w:val="24"/>
          <w:szCs w:val="24"/>
        </w:rPr>
      </w:pPr>
      <w:r w:rsidRPr="00CE5BED">
        <w:rPr>
          <w:rFonts w:ascii="Calibri" w:hAnsi="Calibri" w:cs="Calibri"/>
          <w:sz w:val="24"/>
          <w:szCs w:val="24"/>
        </w:rPr>
        <w:t xml:space="preserve">Resume delivery of </w:t>
      </w:r>
      <w:r w:rsidR="00F62CE7" w:rsidRPr="00CE5BED">
        <w:rPr>
          <w:rFonts w:ascii="Calibri" w:hAnsi="Calibri" w:cs="Calibri"/>
          <w:sz w:val="24"/>
          <w:szCs w:val="24"/>
        </w:rPr>
        <w:t xml:space="preserve">guided self-help </w:t>
      </w:r>
      <w:r w:rsidRPr="00CE5BED">
        <w:rPr>
          <w:rFonts w:ascii="Calibri" w:hAnsi="Calibri" w:cs="Calibri"/>
          <w:sz w:val="24"/>
          <w:szCs w:val="24"/>
        </w:rPr>
        <w:t xml:space="preserve">group interventions </w:t>
      </w:r>
      <w:r w:rsidR="00F62CE7" w:rsidRPr="00CE5BED">
        <w:rPr>
          <w:rFonts w:ascii="Calibri" w:hAnsi="Calibri" w:cs="Calibri"/>
          <w:sz w:val="24"/>
          <w:szCs w:val="24"/>
        </w:rPr>
        <w:t xml:space="preserve">for binge eating disorders and a ‘getting started’ psycho education group. </w:t>
      </w:r>
    </w:p>
    <w:p w14:paraId="5CE4C562" w14:textId="77777777" w:rsidR="003E064B" w:rsidRPr="00CE5BED" w:rsidRDefault="00F62CE7" w:rsidP="003E064B">
      <w:pPr>
        <w:pStyle w:val="ListParagraph"/>
        <w:numPr>
          <w:ilvl w:val="1"/>
          <w:numId w:val="6"/>
        </w:numPr>
        <w:rPr>
          <w:rFonts w:ascii="Calibri" w:hAnsi="Calibri" w:cs="Calibri"/>
          <w:sz w:val="24"/>
          <w:szCs w:val="24"/>
        </w:rPr>
      </w:pPr>
      <w:r w:rsidRPr="00CE5BED">
        <w:rPr>
          <w:rFonts w:ascii="Calibri" w:hAnsi="Calibri" w:cs="Calibri"/>
          <w:sz w:val="24"/>
          <w:szCs w:val="24"/>
        </w:rPr>
        <w:t>Third Sector</w:t>
      </w:r>
      <w:r w:rsidR="003E064B" w:rsidRPr="00CE5BED">
        <w:rPr>
          <w:rFonts w:ascii="Calibri" w:hAnsi="Calibri" w:cs="Calibri"/>
          <w:sz w:val="24"/>
          <w:szCs w:val="24"/>
        </w:rPr>
        <w:t xml:space="preserve"> waiting list support offer being scoped.</w:t>
      </w:r>
      <w:r w:rsidRPr="00CE5BED">
        <w:rPr>
          <w:rFonts w:ascii="Calibri" w:hAnsi="Calibri" w:cs="Calibri"/>
          <w:sz w:val="24"/>
          <w:szCs w:val="24"/>
        </w:rPr>
        <w:t xml:space="preserve"> </w:t>
      </w:r>
    </w:p>
    <w:p w14:paraId="4F7523BB" w14:textId="77777777" w:rsidR="00F62CE7" w:rsidRPr="00CE5BED" w:rsidRDefault="00F62CE7" w:rsidP="003E064B">
      <w:pPr>
        <w:pStyle w:val="ListParagraph"/>
        <w:numPr>
          <w:ilvl w:val="1"/>
          <w:numId w:val="6"/>
        </w:numPr>
        <w:rPr>
          <w:rFonts w:ascii="Calibri" w:hAnsi="Calibri" w:cs="Calibri"/>
          <w:sz w:val="24"/>
          <w:szCs w:val="24"/>
        </w:rPr>
      </w:pPr>
      <w:r w:rsidRPr="00CE5BED">
        <w:rPr>
          <w:rFonts w:ascii="Calibri" w:hAnsi="Calibri" w:cs="Calibri"/>
          <w:sz w:val="24"/>
          <w:szCs w:val="24"/>
        </w:rPr>
        <w:t xml:space="preserve">GPwSI </w:t>
      </w:r>
      <w:r w:rsidR="003E064B" w:rsidRPr="00CE5BED">
        <w:rPr>
          <w:rFonts w:ascii="Calibri" w:hAnsi="Calibri" w:cs="Calibri"/>
          <w:sz w:val="24"/>
          <w:szCs w:val="24"/>
        </w:rPr>
        <w:t>-</w:t>
      </w:r>
      <w:r w:rsidRPr="00CE5BED">
        <w:rPr>
          <w:rFonts w:ascii="Calibri" w:hAnsi="Calibri" w:cs="Calibri"/>
          <w:sz w:val="24"/>
          <w:szCs w:val="24"/>
        </w:rPr>
        <w:t xml:space="preserve"> would require a special interest in EDs Oxford Health would help support around triage / assessment and treatments. </w:t>
      </w:r>
    </w:p>
    <w:p w14:paraId="5BE8AE26" w14:textId="77777777" w:rsidR="003E064B" w:rsidRPr="00CE5BED" w:rsidRDefault="003E064B" w:rsidP="00F62CE7">
      <w:pPr>
        <w:pStyle w:val="ListParagraph"/>
        <w:numPr>
          <w:ilvl w:val="0"/>
          <w:numId w:val="6"/>
        </w:numPr>
        <w:rPr>
          <w:rFonts w:ascii="Calibri" w:hAnsi="Calibri" w:cs="Calibri"/>
          <w:b/>
          <w:sz w:val="24"/>
          <w:szCs w:val="24"/>
        </w:rPr>
      </w:pPr>
      <w:r w:rsidRPr="00CE5BED">
        <w:rPr>
          <w:rFonts w:ascii="Calibri" w:hAnsi="Calibri" w:cs="Calibri"/>
          <w:b/>
          <w:sz w:val="24"/>
          <w:szCs w:val="24"/>
        </w:rPr>
        <w:t>Longer-term; Service Transformation</w:t>
      </w:r>
    </w:p>
    <w:p w14:paraId="086DD341" w14:textId="77777777" w:rsidR="007A0035" w:rsidRPr="00CE5BED" w:rsidRDefault="003E064B" w:rsidP="003E064B">
      <w:pPr>
        <w:pStyle w:val="ListParagraph"/>
        <w:numPr>
          <w:ilvl w:val="1"/>
          <w:numId w:val="6"/>
        </w:numPr>
        <w:rPr>
          <w:rFonts w:ascii="Calibri" w:hAnsi="Calibri" w:cs="Calibri"/>
          <w:b/>
          <w:sz w:val="24"/>
          <w:szCs w:val="24"/>
        </w:rPr>
      </w:pPr>
      <w:r w:rsidRPr="00CE5BED">
        <w:rPr>
          <w:rFonts w:ascii="Calibri" w:hAnsi="Calibri" w:cs="Calibri"/>
          <w:sz w:val="24"/>
          <w:szCs w:val="24"/>
        </w:rPr>
        <w:t>R</w:t>
      </w:r>
      <w:r w:rsidR="00F62CE7" w:rsidRPr="00CE5BED">
        <w:rPr>
          <w:rFonts w:ascii="Calibri" w:hAnsi="Calibri" w:cs="Calibri"/>
          <w:sz w:val="24"/>
          <w:szCs w:val="24"/>
        </w:rPr>
        <w:t>emode</w:t>
      </w:r>
      <w:r w:rsidR="007A0035" w:rsidRPr="00CE5BED">
        <w:rPr>
          <w:rFonts w:ascii="Calibri" w:hAnsi="Calibri" w:cs="Calibri"/>
          <w:sz w:val="24"/>
          <w:szCs w:val="24"/>
        </w:rPr>
        <w:t>l</w:t>
      </w:r>
      <w:r w:rsidR="00F62CE7" w:rsidRPr="00CE5BED">
        <w:rPr>
          <w:rFonts w:ascii="Calibri" w:hAnsi="Calibri" w:cs="Calibri"/>
          <w:sz w:val="24"/>
          <w:szCs w:val="24"/>
        </w:rPr>
        <w:t>l</w:t>
      </w:r>
      <w:r w:rsidR="007A0035" w:rsidRPr="00CE5BED">
        <w:rPr>
          <w:rFonts w:ascii="Calibri" w:hAnsi="Calibri" w:cs="Calibri"/>
          <w:sz w:val="24"/>
          <w:szCs w:val="24"/>
        </w:rPr>
        <w:t>ing</w:t>
      </w:r>
      <w:r w:rsidR="00F62CE7" w:rsidRPr="00CE5BED">
        <w:rPr>
          <w:rFonts w:ascii="Calibri" w:hAnsi="Calibri" w:cs="Calibri"/>
          <w:sz w:val="24"/>
          <w:szCs w:val="24"/>
        </w:rPr>
        <w:t xml:space="preserve"> the Eating Disorder service as part of the Community Services Framework</w:t>
      </w:r>
      <w:r w:rsidR="007A0035" w:rsidRPr="00CE5BED">
        <w:rPr>
          <w:rFonts w:ascii="Calibri" w:hAnsi="Calibri" w:cs="Calibri"/>
          <w:sz w:val="24"/>
          <w:szCs w:val="24"/>
        </w:rPr>
        <w:t xml:space="preserve">; in year investment of £366k. Recruitment </w:t>
      </w:r>
      <w:r w:rsidRPr="00CE5BED">
        <w:rPr>
          <w:rFonts w:ascii="Calibri" w:hAnsi="Calibri" w:cs="Calibri"/>
          <w:sz w:val="24"/>
          <w:szCs w:val="24"/>
        </w:rPr>
        <w:t>to expansion posts is underway.</w:t>
      </w:r>
    </w:p>
    <w:p w14:paraId="784E2A38" w14:textId="77777777" w:rsidR="00F62CE7" w:rsidRPr="00CE5BED" w:rsidRDefault="00F62CE7">
      <w:pPr>
        <w:rPr>
          <w:sz w:val="24"/>
          <w:szCs w:val="24"/>
        </w:rPr>
      </w:pPr>
    </w:p>
    <w:p w14:paraId="69B69CBA" w14:textId="77777777" w:rsidR="00CE5BED" w:rsidRPr="00CE5BED" w:rsidRDefault="00CE5BED">
      <w:pPr>
        <w:rPr>
          <w:sz w:val="24"/>
          <w:szCs w:val="24"/>
        </w:rPr>
      </w:pPr>
    </w:p>
    <w:p w14:paraId="1DA78B7A" w14:textId="77777777" w:rsidR="00CE5BED" w:rsidRPr="00CE5BED" w:rsidRDefault="00CE5BED">
      <w:pPr>
        <w:rPr>
          <w:sz w:val="24"/>
          <w:szCs w:val="24"/>
        </w:rPr>
      </w:pPr>
    </w:p>
    <w:p w14:paraId="3F9E7D1F" w14:textId="77777777" w:rsidR="00CE5BED" w:rsidRDefault="00CE5BED">
      <w:pPr>
        <w:rPr>
          <w:sz w:val="24"/>
          <w:szCs w:val="24"/>
        </w:rPr>
      </w:pPr>
    </w:p>
    <w:p w14:paraId="3E32D1C6" w14:textId="77777777" w:rsidR="00CE5BED" w:rsidRPr="00CE5BED" w:rsidRDefault="00CE5BED">
      <w:pPr>
        <w:rPr>
          <w:sz w:val="24"/>
          <w:szCs w:val="24"/>
        </w:rPr>
      </w:pPr>
    </w:p>
    <w:p w14:paraId="3EA665A8" w14:textId="77777777" w:rsidR="00CE5BED" w:rsidRPr="00CE5BED" w:rsidRDefault="00CE5BED">
      <w:pPr>
        <w:rPr>
          <w:sz w:val="24"/>
          <w:szCs w:val="24"/>
        </w:rPr>
      </w:pPr>
    </w:p>
    <w:p w14:paraId="1096B7E0" w14:textId="77777777" w:rsidR="00CE5BED" w:rsidRPr="00CE5BED" w:rsidRDefault="00CE5BED">
      <w:pPr>
        <w:rPr>
          <w:sz w:val="24"/>
          <w:szCs w:val="24"/>
        </w:rPr>
      </w:pPr>
    </w:p>
    <w:p w14:paraId="0118B7B0" w14:textId="77777777" w:rsidR="00CE5BED" w:rsidRPr="00CE5BED" w:rsidRDefault="00CE5BED" w:rsidP="00F62CE7">
      <w:pPr>
        <w:rPr>
          <w:b/>
          <w:sz w:val="24"/>
          <w:szCs w:val="24"/>
          <w:u w:val="single"/>
        </w:rPr>
      </w:pPr>
      <w:r w:rsidRPr="00CE5BED">
        <w:rPr>
          <w:b/>
          <w:sz w:val="24"/>
          <w:szCs w:val="24"/>
          <w:u w:val="single"/>
        </w:rPr>
        <w:lastRenderedPageBreak/>
        <w:t>Referring to the Service:</w:t>
      </w:r>
    </w:p>
    <w:p w14:paraId="2C4B8DF7" w14:textId="77777777" w:rsidR="00F62CE7" w:rsidRPr="00CE5BED" w:rsidRDefault="00F62CE7" w:rsidP="00F62CE7">
      <w:pPr>
        <w:rPr>
          <w:sz w:val="24"/>
          <w:szCs w:val="24"/>
        </w:rPr>
      </w:pPr>
      <w:r w:rsidRPr="00CE5BED">
        <w:rPr>
          <w:sz w:val="24"/>
          <w:szCs w:val="24"/>
        </w:rPr>
        <w:t xml:space="preserve">Below are other factors which we may consider as indicators for more urgent referral or requiring screening/advice from </w:t>
      </w:r>
      <w:r w:rsidR="00CE5BED" w:rsidRPr="00CE5BED">
        <w:rPr>
          <w:sz w:val="24"/>
          <w:szCs w:val="24"/>
        </w:rPr>
        <w:t>OHFT</w:t>
      </w:r>
      <w:r w:rsidRPr="00CE5BED">
        <w:rPr>
          <w:sz w:val="24"/>
          <w:szCs w:val="24"/>
        </w:rPr>
        <w:t>:</w:t>
      </w:r>
    </w:p>
    <w:p w14:paraId="69920AF4" w14:textId="77777777" w:rsidR="00F62CE7" w:rsidRPr="00CE5BED" w:rsidRDefault="00F62CE7" w:rsidP="00F62CE7">
      <w:pPr>
        <w:rPr>
          <w:sz w:val="24"/>
          <w:szCs w:val="24"/>
        </w:rPr>
      </w:pPr>
    </w:p>
    <w:tbl>
      <w:tblPr>
        <w:tblStyle w:val="TableGrid"/>
        <w:tblW w:w="0" w:type="auto"/>
        <w:tblInd w:w="0" w:type="dxa"/>
        <w:tblLook w:val="04A0" w:firstRow="1" w:lastRow="0" w:firstColumn="1" w:lastColumn="0" w:noHBand="0" w:noVBand="1"/>
      </w:tblPr>
      <w:tblGrid>
        <w:gridCol w:w="9242"/>
      </w:tblGrid>
      <w:tr w:rsidR="00CE5BED" w:rsidRPr="00CE5BED" w14:paraId="7CB2E8C9" w14:textId="77777777" w:rsidTr="00CE5BED">
        <w:tc>
          <w:tcPr>
            <w:tcW w:w="9242" w:type="dxa"/>
          </w:tcPr>
          <w:p w14:paraId="22BB3043" w14:textId="08791443" w:rsidR="00CE5BED" w:rsidRPr="00CE5BED" w:rsidRDefault="00CE5BED" w:rsidP="00CE5BED">
            <w:pPr>
              <w:rPr>
                <w:sz w:val="24"/>
                <w:szCs w:val="24"/>
                <w:lang w:eastAsia="en-GB"/>
              </w:rPr>
            </w:pPr>
            <w:r w:rsidRPr="00CE5BED">
              <w:rPr>
                <w:sz w:val="24"/>
                <w:szCs w:val="24"/>
              </w:rPr>
              <w:t>-</w:t>
            </w:r>
            <w:r w:rsidR="008E55FB">
              <w:rPr>
                <w:sz w:val="24"/>
                <w:szCs w:val="24"/>
              </w:rPr>
              <w:t xml:space="preserve"> </w:t>
            </w:r>
            <w:r w:rsidRPr="00CE5BED">
              <w:rPr>
                <w:sz w:val="24"/>
                <w:szCs w:val="24"/>
              </w:rPr>
              <w:t>Significant weight loss (more than 1 kg a week for the past 4 weeks or longer)</w:t>
            </w:r>
          </w:p>
          <w:p w14:paraId="02372EA5" w14:textId="5E991170" w:rsidR="00CE5BED" w:rsidRPr="00CE5BED" w:rsidRDefault="00CE5BED" w:rsidP="00CE5BED">
            <w:pPr>
              <w:rPr>
                <w:sz w:val="24"/>
                <w:szCs w:val="24"/>
              </w:rPr>
            </w:pPr>
            <w:r w:rsidRPr="00CE5BED">
              <w:rPr>
                <w:sz w:val="24"/>
                <w:szCs w:val="24"/>
              </w:rPr>
              <w:t>-</w:t>
            </w:r>
            <w:r w:rsidR="008E55FB">
              <w:rPr>
                <w:sz w:val="24"/>
                <w:szCs w:val="24"/>
              </w:rPr>
              <w:t xml:space="preserve"> D</w:t>
            </w:r>
            <w:r w:rsidRPr="00CE5BED">
              <w:rPr>
                <w:sz w:val="24"/>
                <w:szCs w:val="24"/>
              </w:rPr>
              <w:t xml:space="preserve">eteriorating blood tests results (FBC, LFT, U&amp; E, bone profile) and physical health monitoring (BP, pulse, HR..) according to table on medical monitoring </w:t>
            </w:r>
            <w:r w:rsidR="008E55FB" w:rsidRPr="008E55FB">
              <w:rPr>
                <w:color w:val="000000" w:themeColor="text1"/>
                <w:sz w:val="24"/>
                <w:szCs w:val="24"/>
              </w:rPr>
              <w:t>(</w:t>
            </w:r>
            <w:r w:rsidR="00114D4D" w:rsidRPr="008E55FB">
              <w:rPr>
                <w:color w:val="000000" w:themeColor="text1"/>
                <w:sz w:val="24"/>
                <w:szCs w:val="24"/>
              </w:rPr>
              <w:t>below</w:t>
            </w:r>
            <w:r w:rsidR="008E55FB" w:rsidRPr="008E55FB">
              <w:rPr>
                <w:color w:val="000000" w:themeColor="text1"/>
                <w:sz w:val="24"/>
                <w:szCs w:val="24"/>
              </w:rPr>
              <w:t>)</w:t>
            </w:r>
          </w:p>
          <w:p w14:paraId="1A051B2D" w14:textId="77777777" w:rsidR="00CE5BED" w:rsidRPr="00CE5BED" w:rsidRDefault="00CE5BED" w:rsidP="00CE5BED">
            <w:pPr>
              <w:rPr>
                <w:sz w:val="24"/>
                <w:szCs w:val="24"/>
              </w:rPr>
            </w:pPr>
            <w:r w:rsidRPr="00CE5BED">
              <w:rPr>
                <w:sz w:val="24"/>
                <w:szCs w:val="24"/>
              </w:rPr>
              <w:t xml:space="preserve">-low weight and BMI with trajectory down (not stable low weight) </w:t>
            </w:r>
          </w:p>
          <w:p w14:paraId="50F05FC5" w14:textId="313EEF86" w:rsidR="00CE5BED" w:rsidRPr="00CE5BED" w:rsidRDefault="00CE5BED" w:rsidP="00CE5BED">
            <w:pPr>
              <w:rPr>
                <w:sz w:val="24"/>
                <w:szCs w:val="24"/>
              </w:rPr>
            </w:pPr>
            <w:r w:rsidRPr="00CE5BED">
              <w:rPr>
                <w:sz w:val="24"/>
                <w:szCs w:val="24"/>
              </w:rPr>
              <w:t>-</w:t>
            </w:r>
            <w:r w:rsidR="008E55FB">
              <w:rPr>
                <w:sz w:val="24"/>
                <w:szCs w:val="24"/>
              </w:rPr>
              <w:t xml:space="preserve"> </w:t>
            </w:r>
            <w:r w:rsidRPr="00CE5BED">
              <w:rPr>
                <w:sz w:val="24"/>
                <w:szCs w:val="24"/>
              </w:rPr>
              <w:t>BMI dropping below 15 in patients with symptoms of severe restriction</w:t>
            </w:r>
          </w:p>
          <w:p w14:paraId="3096F1EB" w14:textId="298B8AB6" w:rsidR="00CE5BED" w:rsidRPr="00CE5BED" w:rsidRDefault="00CE5BED" w:rsidP="00CE5BED">
            <w:pPr>
              <w:rPr>
                <w:sz w:val="24"/>
                <w:szCs w:val="24"/>
              </w:rPr>
            </w:pPr>
            <w:r w:rsidRPr="00CE5BED">
              <w:rPr>
                <w:sz w:val="24"/>
                <w:szCs w:val="24"/>
              </w:rPr>
              <w:t>-</w:t>
            </w:r>
            <w:r w:rsidR="00590BFB">
              <w:rPr>
                <w:sz w:val="24"/>
                <w:szCs w:val="24"/>
              </w:rPr>
              <w:t xml:space="preserve"> P</w:t>
            </w:r>
            <w:r w:rsidRPr="00CE5BED">
              <w:rPr>
                <w:sz w:val="24"/>
                <w:szCs w:val="24"/>
              </w:rPr>
              <w:t xml:space="preserve">urging (vomiting or laxative abuse) more than 5 times a week or frequent attendance to A &amp; E for </w:t>
            </w:r>
            <w:r w:rsidR="00114D4D" w:rsidRPr="00590BFB">
              <w:rPr>
                <w:color w:val="000000" w:themeColor="text1"/>
                <w:sz w:val="24"/>
                <w:szCs w:val="24"/>
              </w:rPr>
              <w:t>potassium</w:t>
            </w:r>
            <w:r w:rsidRPr="00CE5BED">
              <w:rPr>
                <w:sz w:val="24"/>
                <w:szCs w:val="24"/>
              </w:rPr>
              <w:t xml:space="preserve"> infusions </w:t>
            </w:r>
          </w:p>
          <w:p w14:paraId="29CB86AF" w14:textId="3F1787D2" w:rsidR="00CE5BED" w:rsidRPr="00CE5BED" w:rsidRDefault="00CE5BED" w:rsidP="00CE5BED">
            <w:pPr>
              <w:rPr>
                <w:sz w:val="24"/>
                <w:szCs w:val="24"/>
              </w:rPr>
            </w:pPr>
            <w:r w:rsidRPr="00CE5BED">
              <w:rPr>
                <w:sz w:val="24"/>
                <w:szCs w:val="24"/>
              </w:rPr>
              <w:t>-</w:t>
            </w:r>
            <w:r w:rsidR="008E55FB">
              <w:rPr>
                <w:sz w:val="24"/>
                <w:szCs w:val="24"/>
              </w:rPr>
              <w:t xml:space="preserve"> T</w:t>
            </w:r>
            <w:r w:rsidRPr="00CE5BED">
              <w:rPr>
                <w:sz w:val="24"/>
                <w:szCs w:val="24"/>
              </w:rPr>
              <w:t>ransitioning from other services and relapsing</w:t>
            </w:r>
          </w:p>
          <w:p w14:paraId="7FFAB7E5" w14:textId="69553DC2" w:rsidR="00CE5BED" w:rsidRPr="00CE5BED" w:rsidRDefault="00CE5BED" w:rsidP="00CE5BED">
            <w:pPr>
              <w:rPr>
                <w:sz w:val="24"/>
                <w:szCs w:val="24"/>
              </w:rPr>
            </w:pPr>
            <w:r w:rsidRPr="00CE5BED">
              <w:rPr>
                <w:sz w:val="24"/>
                <w:szCs w:val="24"/>
              </w:rPr>
              <w:t>-</w:t>
            </w:r>
            <w:r w:rsidR="008E55FB">
              <w:rPr>
                <w:sz w:val="24"/>
                <w:szCs w:val="24"/>
              </w:rPr>
              <w:t xml:space="preserve"> S</w:t>
            </w:r>
            <w:r w:rsidRPr="00CE5BED">
              <w:rPr>
                <w:sz w:val="24"/>
                <w:szCs w:val="24"/>
              </w:rPr>
              <w:t>ignificantly severe comorbidity with MH disorder (we may liaise with MH team involved) or medical disorder (Example: diabetes) or pregnant</w:t>
            </w:r>
          </w:p>
          <w:p w14:paraId="506DC19A" w14:textId="73ACE097" w:rsidR="00CE5BED" w:rsidRPr="00CE5BED" w:rsidRDefault="00CE5BED" w:rsidP="00CE5BED">
            <w:pPr>
              <w:rPr>
                <w:sz w:val="24"/>
                <w:szCs w:val="24"/>
              </w:rPr>
            </w:pPr>
            <w:r w:rsidRPr="00CE5BED">
              <w:rPr>
                <w:sz w:val="24"/>
                <w:szCs w:val="24"/>
              </w:rPr>
              <w:t>-</w:t>
            </w:r>
            <w:r w:rsidR="008E55FB">
              <w:rPr>
                <w:sz w:val="24"/>
                <w:szCs w:val="24"/>
              </w:rPr>
              <w:t xml:space="preserve"> S</w:t>
            </w:r>
            <w:r w:rsidRPr="00CE5BED">
              <w:rPr>
                <w:sz w:val="24"/>
                <w:szCs w:val="24"/>
              </w:rPr>
              <w:t>ignificant obesity associated with binge eating disorder (patient waiting for bariatric surgery). Bear in mind that obesity is not always associated with Binge eating disorder so it’s worth discussing with us if unclear</w:t>
            </w:r>
          </w:p>
          <w:p w14:paraId="1DA92310" w14:textId="77777777" w:rsidR="00CE5BED" w:rsidRPr="00CE5BED" w:rsidRDefault="00CE5BED" w:rsidP="00F62CE7">
            <w:pPr>
              <w:rPr>
                <w:sz w:val="24"/>
                <w:szCs w:val="24"/>
              </w:rPr>
            </w:pPr>
          </w:p>
        </w:tc>
      </w:tr>
    </w:tbl>
    <w:p w14:paraId="76996E43" w14:textId="77777777" w:rsidR="00F62CE7" w:rsidRPr="00CE5BED" w:rsidRDefault="00F62CE7" w:rsidP="00F62CE7">
      <w:pPr>
        <w:rPr>
          <w:sz w:val="24"/>
          <w:szCs w:val="24"/>
        </w:rPr>
      </w:pPr>
    </w:p>
    <w:p w14:paraId="7727FB4B" w14:textId="77777777" w:rsidR="00F62CE7" w:rsidRPr="00CE5BED" w:rsidRDefault="00F62CE7" w:rsidP="00F62CE7">
      <w:pPr>
        <w:rPr>
          <w:sz w:val="24"/>
          <w:szCs w:val="24"/>
        </w:rPr>
      </w:pPr>
      <w:r w:rsidRPr="00CE5BED">
        <w:rPr>
          <w:sz w:val="24"/>
          <w:szCs w:val="24"/>
        </w:rPr>
        <w:t>In case of any doubts about physical monitoring or increased risk which escalate the referral, I am happy to be contacted via phone or via the email;</w:t>
      </w:r>
    </w:p>
    <w:p w14:paraId="53E06F4B" w14:textId="77777777" w:rsidR="00CE5BED" w:rsidRPr="00CE5BED" w:rsidRDefault="00CE5BED" w:rsidP="00F62CE7">
      <w:pPr>
        <w:rPr>
          <w:sz w:val="24"/>
          <w:szCs w:val="24"/>
        </w:rPr>
      </w:pPr>
    </w:p>
    <w:p w14:paraId="641A849C" w14:textId="77777777" w:rsidR="00F62CE7" w:rsidRPr="00CE5BED" w:rsidRDefault="00F62CE7" w:rsidP="00F62CE7">
      <w:pPr>
        <w:rPr>
          <w:i/>
          <w:sz w:val="24"/>
          <w:szCs w:val="24"/>
        </w:rPr>
      </w:pPr>
      <w:r w:rsidRPr="00CE5BED">
        <w:rPr>
          <w:i/>
          <w:sz w:val="24"/>
          <w:szCs w:val="24"/>
        </w:rPr>
        <w:t>Dr Francesca Battisti</w:t>
      </w:r>
    </w:p>
    <w:p w14:paraId="685E31E1" w14:textId="77777777" w:rsidR="00F62CE7" w:rsidRPr="00CE5BED" w:rsidRDefault="00F62CE7" w:rsidP="00F62CE7">
      <w:pPr>
        <w:rPr>
          <w:i/>
          <w:sz w:val="24"/>
          <w:szCs w:val="24"/>
        </w:rPr>
      </w:pPr>
      <w:r w:rsidRPr="00CE5BED">
        <w:rPr>
          <w:i/>
          <w:sz w:val="24"/>
          <w:szCs w:val="24"/>
        </w:rPr>
        <w:t>Consultant Psychiatrist</w:t>
      </w:r>
    </w:p>
    <w:p w14:paraId="00AC8372" w14:textId="77777777" w:rsidR="00F62CE7" w:rsidRPr="00CE5BED" w:rsidRDefault="00F62CE7" w:rsidP="00F62CE7">
      <w:pPr>
        <w:rPr>
          <w:i/>
          <w:sz w:val="24"/>
          <w:szCs w:val="24"/>
        </w:rPr>
      </w:pPr>
      <w:r w:rsidRPr="00CE5BED">
        <w:rPr>
          <w:i/>
          <w:sz w:val="24"/>
          <w:szCs w:val="24"/>
        </w:rPr>
        <w:t>Cotswold House Marlborough, Wiltshire SN8 3HL</w:t>
      </w:r>
    </w:p>
    <w:p w14:paraId="753B65CE" w14:textId="77777777" w:rsidR="00F62CE7" w:rsidRPr="00CE5BED" w:rsidRDefault="00F62CE7" w:rsidP="00F62CE7">
      <w:pPr>
        <w:rPr>
          <w:i/>
          <w:sz w:val="24"/>
          <w:szCs w:val="24"/>
        </w:rPr>
      </w:pPr>
      <w:r w:rsidRPr="00CE5BED">
        <w:rPr>
          <w:i/>
          <w:sz w:val="24"/>
          <w:szCs w:val="24"/>
        </w:rPr>
        <w:t>Tel: 01865 904402, Mobile 07799075922</w:t>
      </w:r>
    </w:p>
    <w:p w14:paraId="02BD954A" w14:textId="77777777" w:rsidR="00CE5BED" w:rsidRPr="00CE5BED" w:rsidRDefault="00F62CE7" w:rsidP="00CE5BED">
      <w:pPr>
        <w:rPr>
          <w:i/>
          <w:sz w:val="24"/>
          <w:szCs w:val="24"/>
        </w:rPr>
      </w:pPr>
      <w:r w:rsidRPr="00CE5BED">
        <w:rPr>
          <w:i/>
          <w:sz w:val="24"/>
          <w:szCs w:val="24"/>
        </w:rPr>
        <w:t xml:space="preserve">Email: </w:t>
      </w:r>
      <w:hyperlink r:id="rId7" w:history="1">
        <w:r w:rsidRPr="00CE5BED">
          <w:rPr>
            <w:rStyle w:val="Hyperlink"/>
            <w:i/>
            <w:sz w:val="24"/>
            <w:szCs w:val="24"/>
          </w:rPr>
          <w:t>Francesca.Battisti@oxfordhealth.nhs.uk</w:t>
        </w:r>
      </w:hyperlink>
    </w:p>
    <w:p w14:paraId="3E14E3DE" w14:textId="77777777" w:rsidR="00CE5BED" w:rsidRPr="00CE5BED" w:rsidRDefault="00CE5BED" w:rsidP="00CE5BED">
      <w:pPr>
        <w:pStyle w:val="Heading2"/>
        <w:rPr>
          <w:rFonts w:ascii="Calibri" w:hAnsi="Calibri" w:cs="Calibri"/>
          <w:i w:val="0"/>
          <w:sz w:val="24"/>
          <w:szCs w:val="24"/>
          <w:u w:val="single"/>
        </w:rPr>
      </w:pPr>
      <w:bookmarkStart w:id="0" w:name="_Toc289856098"/>
      <w:r w:rsidRPr="00CE5BED">
        <w:rPr>
          <w:rFonts w:ascii="Calibri" w:hAnsi="Calibri" w:cs="Calibri"/>
          <w:i w:val="0"/>
          <w:sz w:val="24"/>
          <w:szCs w:val="24"/>
          <w:u w:val="single"/>
        </w:rPr>
        <w:t>Blood Monitoring Guidance</w:t>
      </w:r>
      <w:r>
        <w:rPr>
          <w:rFonts w:ascii="Calibri" w:hAnsi="Calibri" w:cs="Calibri"/>
          <w:i w:val="0"/>
          <w:sz w:val="24"/>
          <w:szCs w:val="24"/>
          <w:u w:val="single"/>
        </w:rPr>
        <w:t>:</w:t>
      </w:r>
    </w:p>
    <w:bookmarkEnd w:id="0"/>
    <w:p w14:paraId="42768707" w14:textId="77777777" w:rsidR="00CE5BED" w:rsidRPr="00CE5BED" w:rsidRDefault="00CE5BED" w:rsidP="00CE5BED">
      <w:pPr>
        <w:rPr>
          <w:sz w:val="24"/>
          <w:szCs w:val="24"/>
        </w:rPr>
      </w:pPr>
      <w:r w:rsidRPr="00CE5BED">
        <w:rPr>
          <w:sz w:val="24"/>
          <w:szCs w:val="24"/>
        </w:rPr>
        <w:t xml:space="preserve">The blood tests we recommend include FBC, U+Es, LFTs and bone profile. Below is a copy of our concern and alert ranges for your information.  Results of concern that we often see in low weight patients include: </w:t>
      </w:r>
    </w:p>
    <w:p w14:paraId="5826FE0B" w14:textId="77777777" w:rsidR="00CE5BED" w:rsidRPr="00CE5BED" w:rsidRDefault="00CE5BED" w:rsidP="00CE5BED">
      <w:pPr>
        <w:numPr>
          <w:ilvl w:val="0"/>
          <w:numId w:val="1"/>
        </w:numPr>
        <w:spacing w:line="256" w:lineRule="auto"/>
        <w:rPr>
          <w:sz w:val="24"/>
          <w:szCs w:val="24"/>
        </w:rPr>
      </w:pPr>
      <w:r w:rsidRPr="00CE5BED">
        <w:rPr>
          <w:sz w:val="24"/>
          <w:szCs w:val="24"/>
        </w:rPr>
        <w:t>Low Hb, WCC (low platelets of more concern)</w:t>
      </w:r>
    </w:p>
    <w:p w14:paraId="6AECD86A" w14:textId="77777777" w:rsidR="00CE5BED" w:rsidRPr="00CE5BED" w:rsidRDefault="00CE5BED" w:rsidP="00CE5BED">
      <w:pPr>
        <w:numPr>
          <w:ilvl w:val="0"/>
          <w:numId w:val="1"/>
        </w:numPr>
        <w:spacing w:line="256" w:lineRule="auto"/>
        <w:rPr>
          <w:sz w:val="24"/>
          <w:szCs w:val="24"/>
        </w:rPr>
      </w:pPr>
      <w:r w:rsidRPr="00CE5BED">
        <w:rPr>
          <w:sz w:val="24"/>
          <w:szCs w:val="24"/>
        </w:rPr>
        <w:t>Low glucose</w:t>
      </w:r>
    </w:p>
    <w:p w14:paraId="1B375458" w14:textId="77777777" w:rsidR="00CE5BED" w:rsidRPr="00CE5BED" w:rsidRDefault="00CE5BED" w:rsidP="00CE5BED">
      <w:pPr>
        <w:numPr>
          <w:ilvl w:val="0"/>
          <w:numId w:val="1"/>
        </w:numPr>
        <w:spacing w:line="256" w:lineRule="auto"/>
        <w:rPr>
          <w:sz w:val="24"/>
          <w:szCs w:val="24"/>
        </w:rPr>
      </w:pPr>
      <w:r w:rsidRPr="00CE5BED">
        <w:rPr>
          <w:sz w:val="24"/>
          <w:szCs w:val="24"/>
        </w:rPr>
        <w:t>Low potassium (due to purging)</w:t>
      </w:r>
    </w:p>
    <w:p w14:paraId="34AB74EF" w14:textId="77777777" w:rsidR="00CE5BED" w:rsidRPr="00CE5BED" w:rsidRDefault="00CE5BED" w:rsidP="00CE5BED">
      <w:pPr>
        <w:numPr>
          <w:ilvl w:val="0"/>
          <w:numId w:val="1"/>
        </w:numPr>
        <w:spacing w:line="256" w:lineRule="auto"/>
        <w:rPr>
          <w:sz w:val="24"/>
          <w:szCs w:val="24"/>
        </w:rPr>
      </w:pPr>
      <w:r w:rsidRPr="00CE5BED">
        <w:rPr>
          <w:sz w:val="24"/>
          <w:szCs w:val="24"/>
        </w:rPr>
        <w:t>Low sodium (due to fluid overload)</w:t>
      </w:r>
    </w:p>
    <w:p w14:paraId="30B1BACF" w14:textId="77777777" w:rsidR="00CE5BED" w:rsidRPr="00CE5BED" w:rsidRDefault="00CE5BED" w:rsidP="00CE5BED">
      <w:pPr>
        <w:numPr>
          <w:ilvl w:val="0"/>
          <w:numId w:val="1"/>
        </w:numPr>
        <w:spacing w:line="256" w:lineRule="auto"/>
        <w:rPr>
          <w:sz w:val="24"/>
          <w:szCs w:val="24"/>
        </w:rPr>
      </w:pPr>
      <w:r w:rsidRPr="00CE5BED">
        <w:rPr>
          <w:sz w:val="24"/>
          <w:szCs w:val="24"/>
        </w:rPr>
        <w:t>Low albumin, protein, creatinine</w:t>
      </w:r>
    </w:p>
    <w:p w14:paraId="2D5863B4" w14:textId="77777777" w:rsidR="00CE5BED" w:rsidRPr="00CE5BED" w:rsidRDefault="00CE5BED" w:rsidP="00CE5BED">
      <w:pPr>
        <w:numPr>
          <w:ilvl w:val="0"/>
          <w:numId w:val="1"/>
        </w:numPr>
        <w:spacing w:line="256" w:lineRule="auto"/>
        <w:rPr>
          <w:sz w:val="24"/>
          <w:szCs w:val="24"/>
        </w:rPr>
      </w:pPr>
      <w:r w:rsidRPr="00CE5BED">
        <w:rPr>
          <w:sz w:val="24"/>
          <w:szCs w:val="24"/>
        </w:rPr>
        <w:t>High LFTs (more concerning, can rise rapidly)</w:t>
      </w:r>
    </w:p>
    <w:p w14:paraId="32F5B553" w14:textId="77777777" w:rsidR="00CE5BED" w:rsidRPr="00CE5BED" w:rsidRDefault="00CE5BED" w:rsidP="00CE5BED">
      <w:pPr>
        <w:rPr>
          <w:sz w:val="24"/>
          <w:szCs w:val="24"/>
        </w:rPr>
      </w:pPr>
    </w:p>
    <w:p w14:paraId="173A0F31" w14:textId="77777777" w:rsidR="00CE5BED" w:rsidRPr="00CE5BED" w:rsidRDefault="00CE5BED" w:rsidP="00CE5BED">
      <w:pPr>
        <w:rPr>
          <w:sz w:val="24"/>
          <w:szCs w:val="24"/>
        </w:rPr>
      </w:pPr>
      <w:r w:rsidRPr="00CE5BED">
        <w:rPr>
          <w:sz w:val="24"/>
          <w:szCs w:val="24"/>
        </w:rPr>
        <w:t xml:space="preserve">We recommend weekly blood monitoring when BMI is below 15, fortnightly when BMI is 15-17 (which can be reduced if weight is being restored and there are no abnormalities), and monthly bloods at BMI 17-18. Blood tests can be stopped if completely normal for 3 months and the patient carries on making progress. Patients maintaining a BMI above 18 do not need routine bloods unless clinically indicated. </w:t>
      </w:r>
    </w:p>
    <w:p w14:paraId="29657CB4" w14:textId="77777777" w:rsidR="00CE5BED" w:rsidRPr="00CE5BED" w:rsidRDefault="00CE5BED" w:rsidP="00CE5BED">
      <w:pPr>
        <w:rPr>
          <w:sz w:val="24"/>
          <w:szCs w:val="24"/>
        </w:rPr>
      </w:pPr>
    </w:p>
    <w:p w14:paraId="356DDE2E" w14:textId="77777777" w:rsidR="00CE5BED" w:rsidRPr="00CE5BED" w:rsidRDefault="00CE5BED" w:rsidP="00CE5BED">
      <w:pPr>
        <w:rPr>
          <w:rFonts w:eastAsia="Times New Roman"/>
          <w:sz w:val="24"/>
          <w:szCs w:val="24"/>
        </w:rPr>
      </w:pPr>
      <w:r w:rsidRPr="00CE5BED">
        <w:rPr>
          <w:rFonts w:eastAsia="Times New Roman"/>
          <w:sz w:val="24"/>
          <w:szCs w:val="24"/>
        </w:rPr>
        <w:lastRenderedPageBreak/>
        <w:t xml:space="preserve">For someone normal weight purging once a day please complete monthly blood test. If consistently normal over a period of 3 months, there is no need to carry on with testing unless the patient is symptomatic. Please increase frequency if vomiting gets worse or she/he is experiencing physical symptoms such as palpitations, dizziness, feeling light headed, chest pain. Blood tests should be repeated more frequently (at least twice a week) if the patient is on potassium supplements so that supplementation can be adjusted accordingly. </w:t>
      </w:r>
    </w:p>
    <w:p w14:paraId="52F16DEA" w14:textId="77777777" w:rsidR="00CE5BED" w:rsidRPr="00CE5BED" w:rsidRDefault="00CE5BED" w:rsidP="00CE5BED">
      <w:pPr>
        <w:rPr>
          <w:sz w:val="24"/>
          <w:szCs w:val="24"/>
        </w:rPr>
      </w:pPr>
    </w:p>
    <w:p w14:paraId="131296BB" w14:textId="77777777" w:rsidR="00CE5BED" w:rsidRPr="00CE5BED" w:rsidRDefault="00CE5BED" w:rsidP="00CE5BED">
      <w:pPr>
        <w:keepNext/>
        <w:rPr>
          <w:sz w:val="24"/>
          <w:szCs w:val="24"/>
        </w:rPr>
      </w:pPr>
      <w:r w:rsidRPr="00CE5BED">
        <w:rPr>
          <w:sz w:val="24"/>
          <w:szCs w:val="24"/>
        </w:rPr>
        <w:t xml:space="preserve">Please could patients with a BMI under 17.5 be advised to take multivitamins and minerals, omega 3, Thiamine 50mg and calcium.  </w:t>
      </w:r>
    </w:p>
    <w:p w14:paraId="4B2D4CEA" w14:textId="77777777" w:rsidR="00CE5BED" w:rsidRPr="00CE5BED" w:rsidRDefault="00CE5BED" w:rsidP="00CE5BED">
      <w:pPr>
        <w:keepNext/>
        <w:rPr>
          <w:sz w:val="24"/>
          <w:szCs w:val="24"/>
        </w:rPr>
      </w:pPr>
    </w:p>
    <w:p w14:paraId="23EC83B4" w14:textId="77777777" w:rsidR="00CE5BED" w:rsidRPr="00CE5BED" w:rsidRDefault="00CE5BED" w:rsidP="00CE5BED">
      <w:pPr>
        <w:rPr>
          <w:sz w:val="24"/>
          <w:szCs w:val="24"/>
        </w:rPr>
      </w:pPr>
      <w:r w:rsidRPr="00CE5BED">
        <w:rPr>
          <w:sz w:val="24"/>
          <w:szCs w:val="24"/>
        </w:rPr>
        <w:t>The Management of Potassium Balance:</w:t>
      </w:r>
    </w:p>
    <w:tbl>
      <w:tblPr>
        <w:tblStyle w:val="TableGrid"/>
        <w:tblW w:w="0" w:type="auto"/>
        <w:tblInd w:w="0" w:type="dxa"/>
        <w:tblLook w:val="01E0" w:firstRow="1" w:lastRow="1" w:firstColumn="1" w:lastColumn="1" w:noHBand="0" w:noVBand="0"/>
      </w:tblPr>
      <w:tblGrid>
        <w:gridCol w:w="2214"/>
        <w:gridCol w:w="2214"/>
        <w:gridCol w:w="2214"/>
        <w:gridCol w:w="2214"/>
      </w:tblGrid>
      <w:tr w:rsidR="00CE5BED" w:rsidRPr="00CE5BED" w14:paraId="4E07A620" w14:textId="77777777" w:rsidTr="002B437E">
        <w:tc>
          <w:tcPr>
            <w:tcW w:w="2214" w:type="dxa"/>
            <w:tcBorders>
              <w:top w:val="single" w:sz="4" w:space="0" w:color="auto"/>
              <w:left w:val="single" w:sz="4" w:space="0" w:color="auto"/>
              <w:bottom w:val="single" w:sz="4" w:space="0" w:color="auto"/>
              <w:right w:val="single" w:sz="4" w:space="0" w:color="auto"/>
            </w:tcBorders>
            <w:hideMark/>
          </w:tcPr>
          <w:p w14:paraId="438549F0" w14:textId="77777777" w:rsidR="00CE5BED" w:rsidRPr="00CE5BED" w:rsidRDefault="00CE5BED" w:rsidP="002B437E">
            <w:pPr>
              <w:autoSpaceDE w:val="0"/>
              <w:autoSpaceDN w:val="0"/>
              <w:adjustRightInd w:val="0"/>
              <w:jc w:val="both"/>
              <w:rPr>
                <w:b/>
                <w:sz w:val="24"/>
                <w:szCs w:val="24"/>
                <w:lang w:eastAsia="en-GB"/>
              </w:rPr>
            </w:pPr>
            <w:r w:rsidRPr="00CE5BED">
              <w:rPr>
                <w:b/>
                <w:sz w:val="24"/>
                <w:szCs w:val="24"/>
                <w:lang w:eastAsia="en-GB"/>
              </w:rPr>
              <w:t>Serum levels</w:t>
            </w:r>
          </w:p>
        </w:tc>
        <w:tc>
          <w:tcPr>
            <w:tcW w:w="2214" w:type="dxa"/>
            <w:tcBorders>
              <w:top w:val="single" w:sz="4" w:space="0" w:color="auto"/>
              <w:left w:val="single" w:sz="4" w:space="0" w:color="auto"/>
              <w:bottom w:val="single" w:sz="4" w:space="0" w:color="auto"/>
              <w:right w:val="single" w:sz="4" w:space="0" w:color="auto"/>
            </w:tcBorders>
            <w:hideMark/>
          </w:tcPr>
          <w:p w14:paraId="6B7242D8" w14:textId="77777777" w:rsidR="00CE5BED" w:rsidRPr="00CE5BED" w:rsidRDefault="00CE5BED" w:rsidP="002B437E">
            <w:pPr>
              <w:autoSpaceDE w:val="0"/>
              <w:autoSpaceDN w:val="0"/>
              <w:adjustRightInd w:val="0"/>
              <w:jc w:val="both"/>
              <w:rPr>
                <w:b/>
                <w:i/>
                <w:sz w:val="24"/>
                <w:szCs w:val="24"/>
                <w:lang w:eastAsia="en-GB"/>
              </w:rPr>
            </w:pPr>
            <w:r w:rsidRPr="00CE5BED">
              <w:rPr>
                <w:b/>
                <w:i/>
                <w:sz w:val="24"/>
                <w:szCs w:val="24"/>
                <w:lang w:eastAsia="en-GB"/>
              </w:rPr>
              <w:t xml:space="preserve">Mild </w:t>
            </w:r>
          </w:p>
          <w:p w14:paraId="197B3D53" w14:textId="77777777" w:rsidR="00CE5BED" w:rsidRPr="00CE5BED" w:rsidRDefault="00CE5BED" w:rsidP="002B437E">
            <w:pPr>
              <w:autoSpaceDE w:val="0"/>
              <w:autoSpaceDN w:val="0"/>
              <w:adjustRightInd w:val="0"/>
              <w:jc w:val="both"/>
              <w:rPr>
                <w:sz w:val="24"/>
                <w:szCs w:val="24"/>
                <w:lang w:eastAsia="en-GB"/>
              </w:rPr>
            </w:pPr>
            <w:r w:rsidRPr="00CE5BED">
              <w:rPr>
                <w:sz w:val="24"/>
                <w:szCs w:val="24"/>
                <w:lang w:eastAsia="en-GB"/>
              </w:rPr>
              <w:t>Higher than 3mmol/L</w:t>
            </w:r>
          </w:p>
        </w:tc>
        <w:tc>
          <w:tcPr>
            <w:tcW w:w="2214" w:type="dxa"/>
            <w:tcBorders>
              <w:top w:val="single" w:sz="4" w:space="0" w:color="auto"/>
              <w:left w:val="single" w:sz="4" w:space="0" w:color="auto"/>
              <w:bottom w:val="single" w:sz="4" w:space="0" w:color="auto"/>
              <w:right w:val="single" w:sz="4" w:space="0" w:color="auto"/>
            </w:tcBorders>
            <w:hideMark/>
          </w:tcPr>
          <w:p w14:paraId="27EC5F83" w14:textId="77777777" w:rsidR="00CE5BED" w:rsidRPr="00CE5BED" w:rsidRDefault="00CE5BED" w:rsidP="002B437E">
            <w:pPr>
              <w:autoSpaceDE w:val="0"/>
              <w:autoSpaceDN w:val="0"/>
              <w:adjustRightInd w:val="0"/>
              <w:jc w:val="both"/>
              <w:rPr>
                <w:sz w:val="24"/>
                <w:szCs w:val="24"/>
                <w:lang w:eastAsia="en-GB"/>
              </w:rPr>
            </w:pPr>
            <w:r w:rsidRPr="00CE5BED">
              <w:rPr>
                <w:b/>
                <w:i/>
                <w:sz w:val="24"/>
                <w:szCs w:val="24"/>
                <w:lang w:eastAsia="en-GB"/>
              </w:rPr>
              <w:t xml:space="preserve">Moderate </w:t>
            </w:r>
            <w:r w:rsidRPr="00CE5BED">
              <w:rPr>
                <w:sz w:val="24"/>
                <w:szCs w:val="24"/>
                <w:lang w:eastAsia="en-GB"/>
              </w:rPr>
              <w:t>asymptomatic</w:t>
            </w:r>
          </w:p>
          <w:p w14:paraId="3218ED92" w14:textId="77777777" w:rsidR="00CE5BED" w:rsidRPr="00CE5BED" w:rsidRDefault="00CE5BED" w:rsidP="002B437E">
            <w:pPr>
              <w:autoSpaceDE w:val="0"/>
              <w:autoSpaceDN w:val="0"/>
              <w:adjustRightInd w:val="0"/>
              <w:jc w:val="both"/>
              <w:rPr>
                <w:sz w:val="24"/>
                <w:szCs w:val="24"/>
                <w:lang w:eastAsia="en-GB"/>
              </w:rPr>
            </w:pPr>
            <w:r w:rsidRPr="00CE5BED">
              <w:rPr>
                <w:sz w:val="24"/>
                <w:szCs w:val="24"/>
                <w:lang w:eastAsia="en-GB"/>
              </w:rPr>
              <w:t>2.6 – 3mmol/L</w:t>
            </w:r>
          </w:p>
        </w:tc>
        <w:tc>
          <w:tcPr>
            <w:tcW w:w="2214" w:type="dxa"/>
            <w:tcBorders>
              <w:top w:val="single" w:sz="4" w:space="0" w:color="auto"/>
              <w:left w:val="single" w:sz="4" w:space="0" w:color="auto"/>
              <w:bottom w:val="single" w:sz="4" w:space="0" w:color="auto"/>
              <w:right w:val="single" w:sz="4" w:space="0" w:color="auto"/>
            </w:tcBorders>
            <w:hideMark/>
          </w:tcPr>
          <w:p w14:paraId="015ED0BC" w14:textId="77777777" w:rsidR="00CE5BED" w:rsidRPr="00CE5BED" w:rsidRDefault="00CE5BED" w:rsidP="002B437E">
            <w:pPr>
              <w:autoSpaceDE w:val="0"/>
              <w:autoSpaceDN w:val="0"/>
              <w:adjustRightInd w:val="0"/>
              <w:jc w:val="both"/>
              <w:rPr>
                <w:b/>
                <w:i/>
                <w:sz w:val="24"/>
                <w:szCs w:val="24"/>
                <w:lang w:eastAsia="en-GB"/>
              </w:rPr>
            </w:pPr>
            <w:r w:rsidRPr="00CE5BED">
              <w:rPr>
                <w:b/>
                <w:i/>
                <w:sz w:val="24"/>
                <w:szCs w:val="24"/>
                <w:lang w:eastAsia="en-GB"/>
              </w:rPr>
              <w:t>Severe</w:t>
            </w:r>
          </w:p>
          <w:p w14:paraId="2D7A75D8" w14:textId="77777777" w:rsidR="00CE5BED" w:rsidRPr="00CE5BED" w:rsidRDefault="00CE5BED" w:rsidP="002B437E">
            <w:pPr>
              <w:autoSpaceDE w:val="0"/>
              <w:autoSpaceDN w:val="0"/>
              <w:adjustRightInd w:val="0"/>
              <w:jc w:val="both"/>
              <w:rPr>
                <w:sz w:val="24"/>
                <w:szCs w:val="24"/>
                <w:lang w:eastAsia="en-GB"/>
              </w:rPr>
            </w:pPr>
            <w:r w:rsidRPr="00CE5BED">
              <w:rPr>
                <w:sz w:val="24"/>
                <w:szCs w:val="24"/>
                <w:lang w:eastAsia="en-GB"/>
              </w:rPr>
              <w:t xml:space="preserve">Less than 2.6mmol/L </w:t>
            </w:r>
            <w:r w:rsidRPr="00CE5BED">
              <w:rPr>
                <w:b/>
                <w:i/>
                <w:sz w:val="24"/>
                <w:szCs w:val="24"/>
                <w:lang w:eastAsia="en-GB"/>
              </w:rPr>
              <w:t xml:space="preserve">or </w:t>
            </w:r>
            <w:r w:rsidRPr="00CE5BED">
              <w:rPr>
                <w:sz w:val="24"/>
                <w:szCs w:val="24"/>
                <w:lang w:eastAsia="en-GB"/>
              </w:rPr>
              <w:t>symptomatic</w:t>
            </w:r>
          </w:p>
        </w:tc>
      </w:tr>
      <w:tr w:rsidR="00CE5BED" w:rsidRPr="00CE5BED" w14:paraId="40EF320D" w14:textId="77777777" w:rsidTr="002B437E">
        <w:tc>
          <w:tcPr>
            <w:tcW w:w="2214" w:type="dxa"/>
            <w:tcBorders>
              <w:top w:val="single" w:sz="4" w:space="0" w:color="auto"/>
              <w:left w:val="single" w:sz="4" w:space="0" w:color="auto"/>
              <w:bottom w:val="single" w:sz="4" w:space="0" w:color="auto"/>
              <w:right w:val="single" w:sz="4" w:space="0" w:color="auto"/>
            </w:tcBorders>
            <w:hideMark/>
          </w:tcPr>
          <w:p w14:paraId="167D09FC" w14:textId="77777777" w:rsidR="00CE5BED" w:rsidRPr="00CE5BED" w:rsidRDefault="00CE5BED" w:rsidP="002B437E">
            <w:pPr>
              <w:autoSpaceDE w:val="0"/>
              <w:autoSpaceDN w:val="0"/>
              <w:adjustRightInd w:val="0"/>
              <w:jc w:val="both"/>
              <w:rPr>
                <w:b/>
                <w:sz w:val="24"/>
                <w:szCs w:val="24"/>
                <w:lang w:eastAsia="en-GB"/>
              </w:rPr>
            </w:pPr>
            <w:r w:rsidRPr="00CE5BED">
              <w:rPr>
                <w:b/>
                <w:sz w:val="24"/>
                <w:szCs w:val="24"/>
                <w:lang w:eastAsia="en-GB"/>
              </w:rPr>
              <w:t xml:space="preserve">Treatment </w:t>
            </w:r>
          </w:p>
        </w:tc>
        <w:tc>
          <w:tcPr>
            <w:tcW w:w="2214" w:type="dxa"/>
            <w:tcBorders>
              <w:top w:val="single" w:sz="4" w:space="0" w:color="auto"/>
              <w:left w:val="single" w:sz="4" w:space="0" w:color="auto"/>
              <w:bottom w:val="single" w:sz="4" w:space="0" w:color="auto"/>
              <w:right w:val="single" w:sz="4" w:space="0" w:color="auto"/>
            </w:tcBorders>
            <w:hideMark/>
          </w:tcPr>
          <w:p w14:paraId="55F4B700" w14:textId="77777777" w:rsidR="00CE5BED" w:rsidRPr="00CE5BED" w:rsidRDefault="00CE5BED" w:rsidP="002B437E">
            <w:pPr>
              <w:autoSpaceDE w:val="0"/>
              <w:autoSpaceDN w:val="0"/>
              <w:adjustRightInd w:val="0"/>
              <w:jc w:val="both"/>
              <w:rPr>
                <w:sz w:val="24"/>
                <w:szCs w:val="24"/>
                <w:lang w:eastAsia="en-GB"/>
              </w:rPr>
            </w:pPr>
            <w:r w:rsidRPr="00CE5BED">
              <w:rPr>
                <w:sz w:val="24"/>
                <w:szCs w:val="24"/>
                <w:lang w:eastAsia="en-GB"/>
              </w:rPr>
              <w:t>Potassium effervescent tablets</w:t>
            </w:r>
          </w:p>
          <w:p w14:paraId="281D6C85" w14:textId="77777777" w:rsidR="00CE5BED" w:rsidRPr="00CE5BED" w:rsidRDefault="00CE5BED" w:rsidP="002B437E">
            <w:pPr>
              <w:autoSpaceDE w:val="0"/>
              <w:autoSpaceDN w:val="0"/>
              <w:adjustRightInd w:val="0"/>
              <w:jc w:val="both"/>
              <w:rPr>
                <w:sz w:val="24"/>
                <w:szCs w:val="24"/>
                <w:lang w:eastAsia="en-GB"/>
              </w:rPr>
            </w:pPr>
            <w:r w:rsidRPr="00CE5BED">
              <w:rPr>
                <w:sz w:val="24"/>
                <w:szCs w:val="24"/>
                <w:lang w:eastAsia="en-GB"/>
              </w:rPr>
              <w:t>Two tablets twice daily (48mmol)</w:t>
            </w:r>
          </w:p>
          <w:p w14:paraId="0BD8E4EA" w14:textId="77777777" w:rsidR="00CE5BED" w:rsidRPr="00CE5BED" w:rsidRDefault="00CE5BED" w:rsidP="002B437E">
            <w:pPr>
              <w:autoSpaceDE w:val="0"/>
              <w:autoSpaceDN w:val="0"/>
              <w:adjustRightInd w:val="0"/>
              <w:jc w:val="both"/>
              <w:rPr>
                <w:b/>
                <w:sz w:val="24"/>
                <w:szCs w:val="24"/>
                <w:lang w:eastAsia="en-GB"/>
              </w:rPr>
            </w:pPr>
            <w:r w:rsidRPr="00CE5BED">
              <w:rPr>
                <w:b/>
                <w:sz w:val="24"/>
                <w:szCs w:val="24"/>
                <w:lang w:eastAsia="en-GB"/>
              </w:rPr>
              <w:t>E.g. SandoK ii b.d.</w:t>
            </w:r>
          </w:p>
        </w:tc>
        <w:tc>
          <w:tcPr>
            <w:tcW w:w="2214" w:type="dxa"/>
            <w:tcBorders>
              <w:top w:val="single" w:sz="4" w:space="0" w:color="auto"/>
              <w:left w:val="single" w:sz="4" w:space="0" w:color="auto"/>
              <w:bottom w:val="single" w:sz="4" w:space="0" w:color="auto"/>
              <w:right w:val="single" w:sz="4" w:space="0" w:color="auto"/>
            </w:tcBorders>
            <w:hideMark/>
          </w:tcPr>
          <w:p w14:paraId="1AD29A22" w14:textId="77777777" w:rsidR="00CE5BED" w:rsidRPr="00CE5BED" w:rsidRDefault="00CE5BED" w:rsidP="002B437E">
            <w:pPr>
              <w:autoSpaceDE w:val="0"/>
              <w:autoSpaceDN w:val="0"/>
              <w:adjustRightInd w:val="0"/>
              <w:jc w:val="both"/>
              <w:rPr>
                <w:sz w:val="24"/>
                <w:szCs w:val="24"/>
                <w:lang w:eastAsia="en-GB"/>
              </w:rPr>
            </w:pPr>
            <w:r w:rsidRPr="00CE5BED">
              <w:rPr>
                <w:sz w:val="24"/>
                <w:szCs w:val="24"/>
                <w:lang w:eastAsia="en-GB"/>
              </w:rPr>
              <w:t>Potassium effervescent tablets</w:t>
            </w:r>
          </w:p>
          <w:p w14:paraId="1C6FDBE0" w14:textId="77777777" w:rsidR="00CE5BED" w:rsidRPr="00CE5BED" w:rsidRDefault="00CE5BED" w:rsidP="002B437E">
            <w:pPr>
              <w:autoSpaceDE w:val="0"/>
              <w:autoSpaceDN w:val="0"/>
              <w:adjustRightInd w:val="0"/>
              <w:jc w:val="both"/>
              <w:rPr>
                <w:sz w:val="24"/>
                <w:szCs w:val="24"/>
                <w:lang w:eastAsia="en-GB"/>
              </w:rPr>
            </w:pPr>
            <w:r w:rsidRPr="00CE5BED">
              <w:rPr>
                <w:sz w:val="24"/>
                <w:szCs w:val="24"/>
                <w:lang w:eastAsia="en-GB"/>
              </w:rPr>
              <w:t>Two tablets three times daily (72mmol)</w:t>
            </w:r>
          </w:p>
          <w:p w14:paraId="0A52EBD5" w14:textId="77777777" w:rsidR="00CE5BED" w:rsidRPr="00CE5BED" w:rsidRDefault="00CE5BED" w:rsidP="002B437E">
            <w:pPr>
              <w:autoSpaceDE w:val="0"/>
              <w:autoSpaceDN w:val="0"/>
              <w:adjustRightInd w:val="0"/>
              <w:jc w:val="both"/>
              <w:rPr>
                <w:sz w:val="24"/>
                <w:szCs w:val="24"/>
                <w:lang w:eastAsia="en-GB"/>
              </w:rPr>
            </w:pPr>
            <w:r w:rsidRPr="00CE5BED">
              <w:rPr>
                <w:b/>
                <w:sz w:val="24"/>
                <w:szCs w:val="24"/>
                <w:lang w:eastAsia="en-GB"/>
              </w:rPr>
              <w:t>E.g. SandoK ii t.d.s.</w:t>
            </w:r>
          </w:p>
        </w:tc>
        <w:tc>
          <w:tcPr>
            <w:tcW w:w="2214" w:type="dxa"/>
            <w:tcBorders>
              <w:top w:val="single" w:sz="4" w:space="0" w:color="auto"/>
              <w:left w:val="single" w:sz="4" w:space="0" w:color="auto"/>
              <w:bottom w:val="single" w:sz="4" w:space="0" w:color="auto"/>
              <w:right w:val="single" w:sz="4" w:space="0" w:color="auto"/>
            </w:tcBorders>
            <w:hideMark/>
          </w:tcPr>
          <w:p w14:paraId="2A2DFA7C" w14:textId="77777777" w:rsidR="00CE5BED" w:rsidRPr="00CE5BED" w:rsidRDefault="00CE5BED" w:rsidP="002B437E">
            <w:pPr>
              <w:autoSpaceDE w:val="0"/>
              <w:autoSpaceDN w:val="0"/>
              <w:adjustRightInd w:val="0"/>
              <w:jc w:val="both"/>
              <w:rPr>
                <w:sz w:val="24"/>
                <w:szCs w:val="24"/>
                <w:lang w:eastAsia="en-GB"/>
              </w:rPr>
            </w:pPr>
            <w:r w:rsidRPr="00CE5BED">
              <w:rPr>
                <w:sz w:val="24"/>
                <w:szCs w:val="24"/>
                <w:lang w:eastAsia="en-GB"/>
              </w:rPr>
              <w:t>Call medical registrar to arrange iv therapy</w:t>
            </w:r>
          </w:p>
        </w:tc>
      </w:tr>
    </w:tbl>
    <w:p w14:paraId="335FEFBF" w14:textId="77777777" w:rsidR="00CE5BED" w:rsidRPr="00CE5BED" w:rsidRDefault="00CE5BED" w:rsidP="00CE5BED">
      <w:pPr>
        <w:rPr>
          <w:sz w:val="24"/>
          <w:szCs w:val="24"/>
        </w:rPr>
      </w:pPr>
    </w:p>
    <w:p w14:paraId="027D2FC2" w14:textId="77777777" w:rsidR="00CE5BED" w:rsidRPr="00CE5BED" w:rsidRDefault="00CE5BED" w:rsidP="00CE5BED">
      <w:pPr>
        <w:rPr>
          <w:sz w:val="24"/>
          <w:szCs w:val="24"/>
        </w:rPr>
      </w:pPr>
      <w:r w:rsidRPr="00CE5BED">
        <w:rPr>
          <w:sz w:val="24"/>
          <w:szCs w:val="24"/>
        </w:rPr>
        <w:t>Please could patients with a BMI under 15 and who are on medication have an ECG completed.</w:t>
      </w:r>
    </w:p>
    <w:p w14:paraId="179DCFE4" w14:textId="77777777" w:rsidR="00CE5BED" w:rsidRPr="00CE5BED" w:rsidRDefault="00CE5BED" w:rsidP="00CE5BED">
      <w:pPr>
        <w:rPr>
          <w:sz w:val="24"/>
          <w:szCs w:val="24"/>
        </w:rPr>
      </w:pPr>
    </w:p>
    <w:p w14:paraId="1C3D09F7" w14:textId="77777777" w:rsidR="00CE5BED" w:rsidRPr="00CE5BED" w:rsidRDefault="00CE5BED" w:rsidP="00CE5BED">
      <w:pPr>
        <w:rPr>
          <w:sz w:val="24"/>
          <w:szCs w:val="24"/>
        </w:rPr>
      </w:pPr>
      <w:r w:rsidRPr="00CE5BED">
        <w:rPr>
          <w:sz w:val="24"/>
          <w:szCs w:val="24"/>
        </w:rPr>
        <w:t>Please refer patients whose weight has been below BMI 17.5 and/or in absence of menstrual periods for 6 months-1 year for a DEXA scan. DEXA scans should be repeated every 2 years.</w:t>
      </w:r>
    </w:p>
    <w:p w14:paraId="6CB412AF" w14:textId="77777777" w:rsidR="00CE5BED" w:rsidRPr="00CE5BED" w:rsidRDefault="00CE5BED" w:rsidP="00CE5BED">
      <w:pPr>
        <w:pStyle w:val="Heading2"/>
        <w:rPr>
          <w:rFonts w:ascii="Calibri" w:hAnsi="Calibri" w:cs="Calibri"/>
          <w:sz w:val="24"/>
          <w:szCs w:val="24"/>
        </w:rPr>
      </w:pPr>
      <w:r w:rsidRPr="00CE5BED">
        <w:rPr>
          <w:rFonts w:ascii="Calibri" w:hAnsi="Calibri" w:cs="Calibri"/>
          <w:sz w:val="24"/>
          <w:szCs w:val="24"/>
        </w:rPr>
        <w:t>Medical Monitoring of Eating Disorder Patients</w:t>
      </w:r>
    </w:p>
    <w:p w14:paraId="533DA821" w14:textId="77777777" w:rsidR="00CE5BED" w:rsidRPr="00CE5BED" w:rsidRDefault="00CE5BED" w:rsidP="00CE5BED">
      <w:pPr>
        <w:rPr>
          <w:i/>
          <w:sz w:val="24"/>
          <w:szCs w:val="24"/>
        </w:rPr>
      </w:pPr>
      <w:r w:rsidRPr="00CE5BED">
        <w:rPr>
          <w:i/>
          <w:sz w:val="24"/>
          <w:szCs w:val="24"/>
        </w:rPr>
        <w:t xml:space="preserve">Blood tests recommended: Full blood count, U+E, bone profile, LFTs,  </w:t>
      </w:r>
    </w:p>
    <w:tbl>
      <w:tblPr>
        <w:tblpPr w:leftFromText="180" w:rightFromText="180" w:horzAnchor="margin" w:tblpXSpec="center" w:tblpY="1080"/>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3958"/>
        <w:gridCol w:w="1440"/>
        <w:gridCol w:w="1440"/>
      </w:tblGrid>
      <w:tr w:rsidR="00CE5BED" w:rsidRPr="00CE5BED" w14:paraId="6FFA6A46" w14:textId="77777777" w:rsidTr="00114D4D">
        <w:tc>
          <w:tcPr>
            <w:tcW w:w="1547" w:type="dxa"/>
            <w:tcBorders>
              <w:top w:val="single" w:sz="4" w:space="0" w:color="auto"/>
              <w:left w:val="single" w:sz="4" w:space="0" w:color="auto"/>
              <w:bottom w:val="single" w:sz="4" w:space="0" w:color="auto"/>
              <w:right w:val="single" w:sz="4" w:space="0" w:color="auto"/>
            </w:tcBorders>
            <w:vAlign w:val="center"/>
            <w:hideMark/>
          </w:tcPr>
          <w:p w14:paraId="7F67CAD5" w14:textId="77777777" w:rsidR="00CE5BED" w:rsidRPr="00CE5BED" w:rsidRDefault="00CE5BED" w:rsidP="002B437E">
            <w:pPr>
              <w:jc w:val="center"/>
              <w:rPr>
                <w:b/>
                <w:sz w:val="24"/>
                <w:szCs w:val="24"/>
              </w:rPr>
            </w:pPr>
            <w:r w:rsidRPr="00CE5BED">
              <w:rPr>
                <w:b/>
                <w:sz w:val="24"/>
                <w:szCs w:val="24"/>
              </w:rPr>
              <w:lastRenderedPageBreak/>
              <w:t>SYSTEM</w:t>
            </w:r>
          </w:p>
        </w:tc>
        <w:tc>
          <w:tcPr>
            <w:tcW w:w="3958" w:type="dxa"/>
            <w:tcBorders>
              <w:top w:val="single" w:sz="4" w:space="0" w:color="auto"/>
              <w:left w:val="single" w:sz="4" w:space="0" w:color="auto"/>
              <w:bottom w:val="single" w:sz="4" w:space="0" w:color="auto"/>
              <w:right w:val="single" w:sz="4" w:space="0" w:color="auto"/>
            </w:tcBorders>
            <w:vAlign w:val="center"/>
            <w:hideMark/>
          </w:tcPr>
          <w:p w14:paraId="4BDD4D35" w14:textId="77777777" w:rsidR="00CE5BED" w:rsidRPr="00CE5BED" w:rsidRDefault="00CE5BED" w:rsidP="002B437E">
            <w:pPr>
              <w:jc w:val="center"/>
              <w:rPr>
                <w:b/>
                <w:sz w:val="24"/>
                <w:szCs w:val="24"/>
              </w:rPr>
            </w:pPr>
            <w:r w:rsidRPr="00CE5BED">
              <w:rPr>
                <w:b/>
                <w:sz w:val="24"/>
                <w:szCs w:val="24"/>
              </w:rPr>
              <w:t>Test or Investigation</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3E7BF9A" w14:textId="77777777" w:rsidR="00CE5BED" w:rsidRPr="00CE5BED" w:rsidRDefault="00CE5BED" w:rsidP="002B437E">
            <w:pPr>
              <w:jc w:val="center"/>
              <w:rPr>
                <w:b/>
                <w:sz w:val="24"/>
                <w:szCs w:val="24"/>
              </w:rPr>
            </w:pPr>
            <w:r w:rsidRPr="00CE5BED">
              <w:rPr>
                <w:b/>
                <w:sz w:val="24"/>
                <w:szCs w:val="24"/>
              </w:rPr>
              <w:t>Concern</w:t>
            </w:r>
          </w:p>
        </w:tc>
        <w:tc>
          <w:tcPr>
            <w:tcW w:w="1440" w:type="dxa"/>
            <w:tcBorders>
              <w:top w:val="single" w:sz="4" w:space="0" w:color="auto"/>
              <w:left w:val="single" w:sz="4" w:space="0" w:color="auto"/>
              <w:bottom w:val="single" w:sz="4" w:space="0" w:color="auto"/>
              <w:right w:val="single" w:sz="4" w:space="0" w:color="auto"/>
            </w:tcBorders>
            <w:shd w:val="clear" w:color="auto" w:fill="FF6600"/>
            <w:vAlign w:val="center"/>
            <w:hideMark/>
          </w:tcPr>
          <w:p w14:paraId="6CAE2626" w14:textId="77777777" w:rsidR="00CE5BED" w:rsidRPr="00CE5BED" w:rsidRDefault="00CE5BED" w:rsidP="002B437E">
            <w:pPr>
              <w:jc w:val="center"/>
              <w:rPr>
                <w:b/>
                <w:sz w:val="24"/>
                <w:szCs w:val="24"/>
              </w:rPr>
            </w:pPr>
            <w:r w:rsidRPr="00CE5BED">
              <w:rPr>
                <w:b/>
                <w:sz w:val="24"/>
                <w:szCs w:val="24"/>
              </w:rPr>
              <w:t>Alert</w:t>
            </w:r>
          </w:p>
        </w:tc>
      </w:tr>
      <w:tr w:rsidR="00CE5BED" w:rsidRPr="00CE5BED" w14:paraId="75FDB573" w14:textId="77777777" w:rsidTr="00114D4D">
        <w:trPr>
          <w:trHeight w:val="207"/>
        </w:trPr>
        <w:tc>
          <w:tcPr>
            <w:tcW w:w="1547" w:type="dxa"/>
            <w:vMerge w:val="restart"/>
            <w:tcBorders>
              <w:top w:val="single" w:sz="4" w:space="0" w:color="auto"/>
              <w:left w:val="single" w:sz="4" w:space="0" w:color="auto"/>
              <w:bottom w:val="double" w:sz="4" w:space="0" w:color="auto"/>
              <w:right w:val="single" w:sz="4" w:space="0" w:color="auto"/>
            </w:tcBorders>
            <w:vAlign w:val="center"/>
            <w:hideMark/>
          </w:tcPr>
          <w:p w14:paraId="74CC03FA" w14:textId="77777777" w:rsidR="00CE5BED" w:rsidRPr="00CE5BED" w:rsidRDefault="00CE5BED" w:rsidP="002B437E">
            <w:pPr>
              <w:rPr>
                <w:sz w:val="24"/>
                <w:szCs w:val="24"/>
              </w:rPr>
            </w:pPr>
            <w:r w:rsidRPr="00CE5BED">
              <w:rPr>
                <w:sz w:val="24"/>
                <w:szCs w:val="24"/>
              </w:rPr>
              <w:t>Nutrition</w:t>
            </w:r>
          </w:p>
        </w:tc>
        <w:tc>
          <w:tcPr>
            <w:tcW w:w="3958" w:type="dxa"/>
            <w:tcBorders>
              <w:top w:val="single" w:sz="4" w:space="0" w:color="auto"/>
              <w:left w:val="single" w:sz="4" w:space="0" w:color="auto"/>
              <w:bottom w:val="single" w:sz="4" w:space="0" w:color="auto"/>
              <w:right w:val="single" w:sz="4" w:space="0" w:color="auto"/>
            </w:tcBorders>
            <w:hideMark/>
          </w:tcPr>
          <w:p w14:paraId="51C17419" w14:textId="77777777" w:rsidR="00CE5BED" w:rsidRPr="00CE5BED" w:rsidRDefault="00CE5BED" w:rsidP="002B437E">
            <w:pPr>
              <w:rPr>
                <w:sz w:val="24"/>
                <w:szCs w:val="24"/>
              </w:rPr>
            </w:pPr>
            <w:r w:rsidRPr="00CE5BED">
              <w:rPr>
                <w:sz w:val="24"/>
                <w:szCs w:val="24"/>
              </w:rPr>
              <w:t xml:space="preserve">BMI </w:t>
            </w:r>
          </w:p>
        </w:tc>
        <w:tc>
          <w:tcPr>
            <w:tcW w:w="1440" w:type="dxa"/>
            <w:tcBorders>
              <w:top w:val="single" w:sz="4" w:space="0" w:color="auto"/>
              <w:left w:val="single" w:sz="4" w:space="0" w:color="auto"/>
              <w:bottom w:val="single" w:sz="4" w:space="0" w:color="auto"/>
              <w:right w:val="single" w:sz="4" w:space="0" w:color="auto"/>
            </w:tcBorders>
            <w:hideMark/>
          </w:tcPr>
          <w:p w14:paraId="058FBAAD" w14:textId="77777777" w:rsidR="00CE5BED" w:rsidRPr="00CE5BED" w:rsidRDefault="00CE5BED" w:rsidP="002B437E">
            <w:pPr>
              <w:jc w:val="center"/>
              <w:rPr>
                <w:b/>
                <w:sz w:val="24"/>
                <w:szCs w:val="24"/>
              </w:rPr>
            </w:pPr>
            <w:r w:rsidRPr="00CE5BED">
              <w:rPr>
                <w:b/>
                <w:sz w:val="24"/>
                <w:szCs w:val="24"/>
              </w:rPr>
              <w:t>&lt;14</w:t>
            </w:r>
          </w:p>
        </w:tc>
        <w:tc>
          <w:tcPr>
            <w:tcW w:w="1440" w:type="dxa"/>
            <w:tcBorders>
              <w:top w:val="single" w:sz="4" w:space="0" w:color="auto"/>
              <w:left w:val="single" w:sz="4" w:space="0" w:color="auto"/>
              <w:bottom w:val="single" w:sz="4" w:space="0" w:color="auto"/>
              <w:right w:val="single" w:sz="4" w:space="0" w:color="auto"/>
            </w:tcBorders>
            <w:hideMark/>
          </w:tcPr>
          <w:p w14:paraId="75F93F48" w14:textId="77777777" w:rsidR="00CE5BED" w:rsidRPr="00CE5BED" w:rsidRDefault="00CE5BED" w:rsidP="002B437E">
            <w:pPr>
              <w:jc w:val="center"/>
              <w:rPr>
                <w:b/>
                <w:sz w:val="24"/>
                <w:szCs w:val="24"/>
              </w:rPr>
            </w:pPr>
            <w:r w:rsidRPr="00CE5BED">
              <w:rPr>
                <w:b/>
                <w:sz w:val="24"/>
                <w:szCs w:val="24"/>
              </w:rPr>
              <w:t>&lt;12</w:t>
            </w:r>
          </w:p>
        </w:tc>
      </w:tr>
      <w:tr w:rsidR="00CE5BED" w:rsidRPr="00CE5BED" w14:paraId="2A242463" w14:textId="77777777" w:rsidTr="00114D4D">
        <w:trPr>
          <w:trHeight w:val="206"/>
        </w:trPr>
        <w:tc>
          <w:tcPr>
            <w:tcW w:w="1547" w:type="dxa"/>
            <w:vMerge/>
            <w:tcBorders>
              <w:top w:val="single" w:sz="4" w:space="0" w:color="auto"/>
              <w:left w:val="single" w:sz="4" w:space="0" w:color="auto"/>
              <w:bottom w:val="double" w:sz="4" w:space="0" w:color="auto"/>
              <w:right w:val="single" w:sz="4" w:space="0" w:color="auto"/>
            </w:tcBorders>
            <w:vAlign w:val="center"/>
            <w:hideMark/>
          </w:tcPr>
          <w:p w14:paraId="2126E634" w14:textId="77777777" w:rsidR="00CE5BED" w:rsidRPr="00CE5BED" w:rsidRDefault="00CE5BED" w:rsidP="002B437E">
            <w:pPr>
              <w:rPr>
                <w:sz w:val="24"/>
                <w:szCs w:val="24"/>
              </w:rPr>
            </w:pPr>
          </w:p>
        </w:tc>
        <w:tc>
          <w:tcPr>
            <w:tcW w:w="3958" w:type="dxa"/>
            <w:tcBorders>
              <w:top w:val="single" w:sz="4" w:space="0" w:color="auto"/>
              <w:left w:val="single" w:sz="4" w:space="0" w:color="auto"/>
              <w:bottom w:val="single" w:sz="4" w:space="0" w:color="auto"/>
              <w:right w:val="single" w:sz="4" w:space="0" w:color="auto"/>
            </w:tcBorders>
            <w:hideMark/>
          </w:tcPr>
          <w:p w14:paraId="6C5A223E" w14:textId="77777777" w:rsidR="00CE5BED" w:rsidRPr="00CE5BED" w:rsidRDefault="00CE5BED" w:rsidP="002B437E">
            <w:pPr>
              <w:rPr>
                <w:sz w:val="24"/>
                <w:szCs w:val="24"/>
              </w:rPr>
            </w:pPr>
            <w:r w:rsidRPr="00CE5BED">
              <w:rPr>
                <w:sz w:val="24"/>
                <w:szCs w:val="24"/>
              </w:rPr>
              <w:t>Weight loss per week</w:t>
            </w:r>
          </w:p>
        </w:tc>
        <w:tc>
          <w:tcPr>
            <w:tcW w:w="1440" w:type="dxa"/>
            <w:tcBorders>
              <w:top w:val="single" w:sz="4" w:space="0" w:color="auto"/>
              <w:left w:val="single" w:sz="4" w:space="0" w:color="auto"/>
              <w:bottom w:val="single" w:sz="4" w:space="0" w:color="auto"/>
              <w:right w:val="single" w:sz="4" w:space="0" w:color="auto"/>
            </w:tcBorders>
            <w:hideMark/>
          </w:tcPr>
          <w:p w14:paraId="58E09E0E" w14:textId="77777777" w:rsidR="00CE5BED" w:rsidRPr="00CE5BED" w:rsidRDefault="00CE5BED" w:rsidP="002B437E">
            <w:pPr>
              <w:jc w:val="center"/>
              <w:rPr>
                <w:b/>
                <w:sz w:val="24"/>
                <w:szCs w:val="24"/>
              </w:rPr>
            </w:pPr>
            <w:r w:rsidRPr="00CE5BED">
              <w:rPr>
                <w:b/>
                <w:sz w:val="24"/>
                <w:szCs w:val="24"/>
              </w:rPr>
              <w:t>&gt;0.5kg</w:t>
            </w:r>
          </w:p>
        </w:tc>
        <w:tc>
          <w:tcPr>
            <w:tcW w:w="1440" w:type="dxa"/>
            <w:tcBorders>
              <w:top w:val="single" w:sz="4" w:space="0" w:color="auto"/>
              <w:left w:val="single" w:sz="4" w:space="0" w:color="auto"/>
              <w:bottom w:val="single" w:sz="4" w:space="0" w:color="auto"/>
              <w:right w:val="single" w:sz="4" w:space="0" w:color="auto"/>
            </w:tcBorders>
            <w:hideMark/>
          </w:tcPr>
          <w:p w14:paraId="3C1C70E7" w14:textId="77777777" w:rsidR="00CE5BED" w:rsidRPr="00CE5BED" w:rsidRDefault="00CE5BED" w:rsidP="002B437E">
            <w:pPr>
              <w:jc w:val="center"/>
              <w:rPr>
                <w:b/>
                <w:sz w:val="24"/>
                <w:szCs w:val="24"/>
              </w:rPr>
            </w:pPr>
            <w:r w:rsidRPr="00CE5BED">
              <w:rPr>
                <w:b/>
                <w:sz w:val="24"/>
                <w:szCs w:val="24"/>
              </w:rPr>
              <w:t>&gt;1.0kg</w:t>
            </w:r>
          </w:p>
        </w:tc>
      </w:tr>
      <w:tr w:rsidR="00CE5BED" w:rsidRPr="00CE5BED" w14:paraId="7BE978D0" w14:textId="77777777" w:rsidTr="00114D4D">
        <w:trPr>
          <w:trHeight w:val="206"/>
        </w:trPr>
        <w:tc>
          <w:tcPr>
            <w:tcW w:w="1547" w:type="dxa"/>
            <w:vMerge/>
            <w:tcBorders>
              <w:top w:val="single" w:sz="4" w:space="0" w:color="auto"/>
              <w:left w:val="single" w:sz="4" w:space="0" w:color="auto"/>
              <w:bottom w:val="double" w:sz="4" w:space="0" w:color="auto"/>
              <w:right w:val="single" w:sz="4" w:space="0" w:color="auto"/>
            </w:tcBorders>
            <w:vAlign w:val="center"/>
            <w:hideMark/>
          </w:tcPr>
          <w:p w14:paraId="4794B4F8" w14:textId="77777777" w:rsidR="00CE5BED" w:rsidRPr="00CE5BED" w:rsidRDefault="00CE5BED" w:rsidP="002B437E">
            <w:pPr>
              <w:rPr>
                <w:sz w:val="24"/>
                <w:szCs w:val="24"/>
              </w:rPr>
            </w:pPr>
          </w:p>
        </w:tc>
        <w:tc>
          <w:tcPr>
            <w:tcW w:w="3958" w:type="dxa"/>
            <w:tcBorders>
              <w:top w:val="single" w:sz="4" w:space="0" w:color="auto"/>
              <w:left w:val="single" w:sz="4" w:space="0" w:color="auto"/>
              <w:bottom w:val="single" w:sz="4" w:space="0" w:color="auto"/>
              <w:right w:val="single" w:sz="4" w:space="0" w:color="auto"/>
            </w:tcBorders>
            <w:hideMark/>
          </w:tcPr>
          <w:p w14:paraId="2EEF611E" w14:textId="77777777" w:rsidR="00CE5BED" w:rsidRPr="00CE5BED" w:rsidRDefault="00CE5BED" w:rsidP="002B437E">
            <w:pPr>
              <w:rPr>
                <w:sz w:val="24"/>
                <w:szCs w:val="24"/>
              </w:rPr>
            </w:pPr>
            <w:r w:rsidRPr="00CE5BED">
              <w:rPr>
                <w:sz w:val="24"/>
                <w:szCs w:val="24"/>
              </w:rPr>
              <w:t>Skin Breakdown</w:t>
            </w:r>
          </w:p>
        </w:tc>
        <w:tc>
          <w:tcPr>
            <w:tcW w:w="1440" w:type="dxa"/>
            <w:tcBorders>
              <w:top w:val="single" w:sz="4" w:space="0" w:color="auto"/>
              <w:left w:val="single" w:sz="4" w:space="0" w:color="auto"/>
              <w:bottom w:val="single" w:sz="4" w:space="0" w:color="auto"/>
              <w:right w:val="single" w:sz="4" w:space="0" w:color="auto"/>
            </w:tcBorders>
            <w:hideMark/>
          </w:tcPr>
          <w:p w14:paraId="306D7944" w14:textId="77777777" w:rsidR="00CE5BED" w:rsidRPr="00CE5BED" w:rsidRDefault="00CE5BED" w:rsidP="002B437E">
            <w:pPr>
              <w:jc w:val="center"/>
              <w:rPr>
                <w:b/>
                <w:sz w:val="24"/>
                <w:szCs w:val="24"/>
              </w:rPr>
            </w:pPr>
            <w:r w:rsidRPr="00CE5BED">
              <w:rPr>
                <w:b/>
                <w:sz w:val="24"/>
                <w:szCs w:val="24"/>
              </w:rPr>
              <w:t>&gt;0.1cm</w:t>
            </w:r>
          </w:p>
        </w:tc>
        <w:tc>
          <w:tcPr>
            <w:tcW w:w="1440" w:type="dxa"/>
            <w:tcBorders>
              <w:top w:val="single" w:sz="4" w:space="0" w:color="auto"/>
              <w:left w:val="single" w:sz="4" w:space="0" w:color="auto"/>
              <w:bottom w:val="single" w:sz="4" w:space="0" w:color="auto"/>
              <w:right w:val="single" w:sz="4" w:space="0" w:color="auto"/>
            </w:tcBorders>
            <w:hideMark/>
          </w:tcPr>
          <w:p w14:paraId="72D1F679" w14:textId="77777777" w:rsidR="00CE5BED" w:rsidRPr="00CE5BED" w:rsidRDefault="00CE5BED" w:rsidP="002B437E">
            <w:pPr>
              <w:jc w:val="center"/>
              <w:rPr>
                <w:b/>
                <w:sz w:val="24"/>
                <w:szCs w:val="24"/>
              </w:rPr>
            </w:pPr>
            <w:r w:rsidRPr="00CE5BED">
              <w:rPr>
                <w:b/>
                <w:sz w:val="24"/>
                <w:szCs w:val="24"/>
              </w:rPr>
              <w:t>&gt;0.2cm</w:t>
            </w:r>
          </w:p>
        </w:tc>
      </w:tr>
      <w:tr w:rsidR="00CE5BED" w:rsidRPr="00CE5BED" w14:paraId="664B41B3" w14:textId="77777777" w:rsidTr="00114D4D">
        <w:trPr>
          <w:trHeight w:val="206"/>
        </w:trPr>
        <w:tc>
          <w:tcPr>
            <w:tcW w:w="1547" w:type="dxa"/>
            <w:vMerge/>
            <w:tcBorders>
              <w:top w:val="single" w:sz="4" w:space="0" w:color="auto"/>
              <w:left w:val="single" w:sz="4" w:space="0" w:color="auto"/>
              <w:bottom w:val="double" w:sz="4" w:space="0" w:color="auto"/>
              <w:right w:val="single" w:sz="4" w:space="0" w:color="auto"/>
            </w:tcBorders>
            <w:vAlign w:val="center"/>
            <w:hideMark/>
          </w:tcPr>
          <w:p w14:paraId="46CCC351" w14:textId="77777777" w:rsidR="00CE5BED" w:rsidRPr="00CE5BED" w:rsidRDefault="00CE5BED" w:rsidP="002B437E">
            <w:pPr>
              <w:rPr>
                <w:sz w:val="24"/>
                <w:szCs w:val="24"/>
              </w:rPr>
            </w:pPr>
          </w:p>
        </w:tc>
        <w:tc>
          <w:tcPr>
            <w:tcW w:w="3958" w:type="dxa"/>
            <w:tcBorders>
              <w:top w:val="single" w:sz="4" w:space="0" w:color="auto"/>
              <w:left w:val="single" w:sz="4" w:space="0" w:color="auto"/>
              <w:bottom w:val="double" w:sz="4" w:space="0" w:color="auto"/>
              <w:right w:val="single" w:sz="4" w:space="0" w:color="auto"/>
            </w:tcBorders>
            <w:hideMark/>
          </w:tcPr>
          <w:p w14:paraId="386DC8BA" w14:textId="77777777" w:rsidR="00CE5BED" w:rsidRPr="00CE5BED" w:rsidRDefault="00CE5BED" w:rsidP="002B437E">
            <w:pPr>
              <w:rPr>
                <w:sz w:val="24"/>
                <w:szCs w:val="24"/>
              </w:rPr>
            </w:pPr>
            <w:r w:rsidRPr="00CE5BED">
              <w:rPr>
                <w:sz w:val="24"/>
                <w:szCs w:val="24"/>
              </w:rPr>
              <w:t>Purpuric – purplish colour</w:t>
            </w:r>
          </w:p>
        </w:tc>
        <w:tc>
          <w:tcPr>
            <w:tcW w:w="1440" w:type="dxa"/>
            <w:tcBorders>
              <w:top w:val="single" w:sz="4" w:space="0" w:color="auto"/>
              <w:left w:val="single" w:sz="4" w:space="0" w:color="auto"/>
              <w:bottom w:val="double" w:sz="4" w:space="0" w:color="auto"/>
              <w:right w:val="single" w:sz="4" w:space="0" w:color="auto"/>
            </w:tcBorders>
          </w:tcPr>
          <w:p w14:paraId="66BA5A4A" w14:textId="77777777" w:rsidR="00CE5BED" w:rsidRPr="00CE5BED" w:rsidRDefault="00CE5BED" w:rsidP="002B437E">
            <w:pPr>
              <w:jc w:val="center"/>
              <w:rPr>
                <w:b/>
                <w:sz w:val="24"/>
                <w:szCs w:val="24"/>
              </w:rPr>
            </w:pPr>
          </w:p>
        </w:tc>
        <w:tc>
          <w:tcPr>
            <w:tcW w:w="1440" w:type="dxa"/>
            <w:tcBorders>
              <w:top w:val="single" w:sz="4" w:space="0" w:color="auto"/>
              <w:left w:val="single" w:sz="4" w:space="0" w:color="auto"/>
              <w:bottom w:val="double" w:sz="4" w:space="0" w:color="auto"/>
              <w:right w:val="single" w:sz="4" w:space="0" w:color="auto"/>
            </w:tcBorders>
            <w:hideMark/>
          </w:tcPr>
          <w:p w14:paraId="1626B71B" w14:textId="77777777" w:rsidR="00CE5BED" w:rsidRPr="00CE5BED" w:rsidRDefault="00CE5BED" w:rsidP="002B437E">
            <w:pPr>
              <w:jc w:val="center"/>
              <w:rPr>
                <w:b/>
                <w:sz w:val="24"/>
                <w:szCs w:val="24"/>
              </w:rPr>
            </w:pPr>
            <w:r w:rsidRPr="00CE5BED">
              <w:rPr>
                <w:b/>
                <w:sz w:val="24"/>
                <w:szCs w:val="24"/>
              </w:rPr>
              <w:t>+</w:t>
            </w:r>
          </w:p>
        </w:tc>
      </w:tr>
      <w:tr w:rsidR="00CE5BED" w:rsidRPr="00CE5BED" w14:paraId="75F86652" w14:textId="77777777" w:rsidTr="00114D4D">
        <w:trPr>
          <w:trHeight w:val="279"/>
        </w:trPr>
        <w:tc>
          <w:tcPr>
            <w:tcW w:w="1547" w:type="dxa"/>
            <w:vMerge w:val="restart"/>
            <w:tcBorders>
              <w:top w:val="double" w:sz="4" w:space="0" w:color="auto"/>
              <w:left w:val="single" w:sz="4" w:space="0" w:color="auto"/>
              <w:bottom w:val="double" w:sz="4" w:space="0" w:color="auto"/>
              <w:right w:val="single" w:sz="4" w:space="0" w:color="auto"/>
            </w:tcBorders>
            <w:vAlign w:val="center"/>
            <w:hideMark/>
          </w:tcPr>
          <w:p w14:paraId="70246763" w14:textId="77777777" w:rsidR="00CE5BED" w:rsidRPr="00CE5BED" w:rsidRDefault="00CE5BED" w:rsidP="002B437E">
            <w:pPr>
              <w:rPr>
                <w:sz w:val="24"/>
                <w:szCs w:val="24"/>
              </w:rPr>
            </w:pPr>
            <w:r w:rsidRPr="00CE5BED">
              <w:rPr>
                <w:sz w:val="24"/>
                <w:szCs w:val="24"/>
              </w:rPr>
              <w:t>Circulation</w:t>
            </w:r>
          </w:p>
        </w:tc>
        <w:tc>
          <w:tcPr>
            <w:tcW w:w="3958" w:type="dxa"/>
            <w:tcBorders>
              <w:top w:val="double" w:sz="4" w:space="0" w:color="auto"/>
              <w:left w:val="single" w:sz="4" w:space="0" w:color="auto"/>
              <w:bottom w:val="single" w:sz="4" w:space="0" w:color="auto"/>
              <w:right w:val="single" w:sz="4" w:space="0" w:color="auto"/>
            </w:tcBorders>
            <w:hideMark/>
          </w:tcPr>
          <w:p w14:paraId="3F9F285E" w14:textId="77777777" w:rsidR="00CE5BED" w:rsidRPr="00CE5BED" w:rsidRDefault="00CE5BED" w:rsidP="002B437E">
            <w:pPr>
              <w:rPr>
                <w:sz w:val="24"/>
                <w:szCs w:val="24"/>
              </w:rPr>
            </w:pPr>
            <w:r w:rsidRPr="00CE5BED">
              <w:rPr>
                <w:sz w:val="24"/>
                <w:szCs w:val="24"/>
              </w:rPr>
              <w:t>Systolic BP</w:t>
            </w:r>
          </w:p>
        </w:tc>
        <w:tc>
          <w:tcPr>
            <w:tcW w:w="1440" w:type="dxa"/>
            <w:tcBorders>
              <w:top w:val="double" w:sz="4" w:space="0" w:color="auto"/>
              <w:left w:val="single" w:sz="4" w:space="0" w:color="auto"/>
              <w:bottom w:val="single" w:sz="4" w:space="0" w:color="auto"/>
              <w:right w:val="single" w:sz="4" w:space="0" w:color="auto"/>
            </w:tcBorders>
            <w:hideMark/>
          </w:tcPr>
          <w:p w14:paraId="57DC6B19" w14:textId="77777777" w:rsidR="00CE5BED" w:rsidRPr="00CE5BED" w:rsidRDefault="00CE5BED" w:rsidP="002B437E">
            <w:pPr>
              <w:jc w:val="center"/>
              <w:rPr>
                <w:b/>
                <w:sz w:val="24"/>
                <w:szCs w:val="24"/>
              </w:rPr>
            </w:pPr>
            <w:r w:rsidRPr="00CE5BED">
              <w:rPr>
                <w:b/>
                <w:sz w:val="24"/>
                <w:szCs w:val="24"/>
              </w:rPr>
              <w:t>&lt;90</w:t>
            </w:r>
          </w:p>
        </w:tc>
        <w:tc>
          <w:tcPr>
            <w:tcW w:w="1440" w:type="dxa"/>
            <w:tcBorders>
              <w:top w:val="double" w:sz="4" w:space="0" w:color="auto"/>
              <w:left w:val="single" w:sz="4" w:space="0" w:color="auto"/>
              <w:bottom w:val="single" w:sz="4" w:space="0" w:color="auto"/>
              <w:right w:val="single" w:sz="4" w:space="0" w:color="auto"/>
            </w:tcBorders>
            <w:hideMark/>
          </w:tcPr>
          <w:p w14:paraId="3E058CD4" w14:textId="77777777" w:rsidR="00CE5BED" w:rsidRPr="00CE5BED" w:rsidRDefault="00CE5BED" w:rsidP="002B437E">
            <w:pPr>
              <w:jc w:val="center"/>
              <w:rPr>
                <w:b/>
                <w:sz w:val="24"/>
                <w:szCs w:val="24"/>
              </w:rPr>
            </w:pPr>
            <w:r w:rsidRPr="00CE5BED">
              <w:rPr>
                <w:b/>
                <w:sz w:val="24"/>
                <w:szCs w:val="24"/>
              </w:rPr>
              <w:t>&lt;80</w:t>
            </w:r>
          </w:p>
        </w:tc>
      </w:tr>
      <w:tr w:rsidR="00CE5BED" w:rsidRPr="00CE5BED" w14:paraId="2D04E963" w14:textId="77777777" w:rsidTr="00114D4D">
        <w:trPr>
          <w:trHeight w:val="277"/>
        </w:trPr>
        <w:tc>
          <w:tcPr>
            <w:tcW w:w="1547" w:type="dxa"/>
            <w:vMerge/>
            <w:tcBorders>
              <w:top w:val="double" w:sz="4" w:space="0" w:color="auto"/>
              <w:left w:val="single" w:sz="4" w:space="0" w:color="auto"/>
              <w:bottom w:val="double" w:sz="4" w:space="0" w:color="auto"/>
              <w:right w:val="single" w:sz="4" w:space="0" w:color="auto"/>
            </w:tcBorders>
            <w:vAlign w:val="center"/>
            <w:hideMark/>
          </w:tcPr>
          <w:p w14:paraId="557A58AA" w14:textId="77777777" w:rsidR="00CE5BED" w:rsidRPr="00CE5BED" w:rsidRDefault="00CE5BED" w:rsidP="002B437E">
            <w:pPr>
              <w:rPr>
                <w:sz w:val="24"/>
                <w:szCs w:val="24"/>
              </w:rPr>
            </w:pPr>
          </w:p>
        </w:tc>
        <w:tc>
          <w:tcPr>
            <w:tcW w:w="3958" w:type="dxa"/>
            <w:tcBorders>
              <w:top w:val="single" w:sz="4" w:space="0" w:color="auto"/>
              <w:left w:val="single" w:sz="4" w:space="0" w:color="auto"/>
              <w:bottom w:val="single" w:sz="4" w:space="0" w:color="auto"/>
              <w:right w:val="single" w:sz="4" w:space="0" w:color="auto"/>
            </w:tcBorders>
            <w:hideMark/>
          </w:tcPr>
          <w:p w14:paraId="51A85BC8" w14:textId="77777777" w:rsidR="00CE5BED" w:rsidRPr="00CE5BED" w:rsidRDefault="00CE5BED" w:rsidP="002B437E">
            <w:pPr>
              <w:rPr>
                <w:sz w:val="24"/>
                <w:szCs w:val="24"/>
              </w:rPr>
            </w:pPr>
            <w:r w:rsidRPr="00CE5BED">
              <w:rPr>
                <w:sz w:val="24"/>
                <w:szCs w:val="24"/>
              </w:rPr>
              <w:t>Diastolic BP</w:t>
            </w:r>
          </w:p>
        </w:tc>
        <w:tc>
          <w:tcPr>
            <w:tcW w:w="1440" w:type="dxa"/>
            <w:tcBorders>
              <w:top w:val="single" w:sz="4" w:space="0" w:color="auto"/>
              <w:left w:val="single" w:sz="4" w:space="0" w:color="auto"/>
              <w:bottom w:val="single" w:sz="4" w:space="0" w:color="auto"/>
              <w:right w:val="single" w:sz="4" w:space="0" w:color="auto"/>
            </w:tcBorders>
            <w:hideMark/>
          </w:tcPr>
          <w:p w14:paraId="42D5E252" w14:textId="77777777" w:rsidR="00CE5BED" w:rsidRPr="00CE5BED" w:rsidRDefault="00CE5BED" w:rsidP="002B437E">
            <w:pPr>
              <w:jc w:val="center"/>
              <w:rPr>
                <w:b/>
                <w:sz w:val="24"/>
                <w:szCs w:val="24"/>
              </w:rPr>
            </w:pPr>
            <w:r w:rsidRPr="00CE5BED">
              <w:rPr>
                <w:b/>
                <w:sz w:val="24"/>
                <w:szCs w:val="24"/>
              </w:rPr>
              <w:t>&lt;70</w:t>
            </w:r>
          </w:p>
        </w:tc>
        <w:tc>
          <w:tcPr>
            <w:tcW w:w="1440" w:type="dxa"/>
            <w:tcBorders>
              <w:top w:val="single" w:sz="4" w:space="0" w:color="auto"/>
              <w:left w:val="single" w:sz="4" w:space="0" w:color="auto"/>
              <w:bottom w:val="single" w:sz="4" w:space="0" w:color="auto"/>
              <w:right w:val="single" w:sz="4" w:space="0" w:color="auto"/>
            </w:tcBorders>
            <w:hideMark/>
          </w:tcPr>
          <w:p w14:paraId="22583563" w14:textId="77777777" w:rsidR="00CE5BED" w:rsidRPr="00CE5BED" w:rsidRDefault="00CE5BED" w:rsidP="002B437E">
            <w:pPr>
              <w:jc w:val="center"/>
              <w:rPr>
                <w:b/>
                <w:sz w:val="24"/>
                <w:szCs w:val="24"/>
              </w:rPr>
            </w:pPr>
            <w:r w:rsidRPr="00CE5BED">
              <w:rPr>
                <w:b/>
                <w:sz w:val="24"/>
                <w:szCs w:val="24"/>
              </w:rPr>
              <w:t>&lt;60</w:t>
            </w:r>
          </w:p>
        </w:tc>
      </w:tr>
      <w:tr w:rsidR="00CE5BED" w:rsidRPr="00CE5BED" w14:paraId="263E4BFB" w14:textId="77777777" w:rsidTr="00114D4D">
        <w:trPr>
          <w:trHeight w:val="277"/>
        </w:trPr>
        <w:tc>
          <w:tcPr>
            <w:tcW w:w="1547" w:type="dxa"/>
            <w:vMerge/>
            <w:tcBorders>
              <w:top w:val="double" w:sz="4" w:space="0" w:color="auto"/>
              <w:left w:val="single" w:sz="4" w:space="0" w:color="auto"/>
              <w:bottom w:val="double" w:sz="4" w:space="0" w:color="auto"/>
              <w:right w:val="single" w:sz="4" w:space="0" w:color="auto"/>
            </w:tcBorders>
            <w:vAlign w:val="center"/>
            <w:hideMark/>
          </w:tcPr>
          <w:p w14:paraId="307A4D50" w14:textId="77777777" w:rsidR="00CE5BED" w:rsidRPr="00CE5BED" w:rsidRDefault="00CE5BED" w:rsidP="002B437E">
            <w:pPr>
              <w:rPr>
                <w:sz w:val="24"/>
                <w:szCs w:val="24"/>
              </w:rPr>
            </w:pPr>
          </w:p>
        </w:tc>
        <w:tc>
          <w:tcPr>
            <w:tcW w:w="3958" w:type="dxa"/>
            <w:tcBorders>
              <w:top w:val="single" w:sz="4" w:space="0" w:color="auto"/>
              <w:left w:val="single" w:sz="4" w:space="0" w:color="auto"/>
              <w:bottom w:val="single" w:sz="4" w:space="0" w:color="auto"/>
              <w:right w:val="single" w:sz="4" w:space="0" w:color="auto"/>
            </w:tcBorders>
            <w:hideMark/>
          </w:tcPr>
          <w:p w14:paraId="5EF4C170" w14:textId="77777777" w:rsidR="00CE5BED" w:rsidRPr="00CE5BED" w:rsidRDefault="00CE5BED" w:rsidP="002B437E">
            <w:pPr>
              <w:rPr>
                <w:sz w:val="24"/>
                <w:szCs w:val="24"/>
              </w:rPr>
            </w:pPr>
            <w:r w:rsidRPr="00CE5BED">
              <w:rPr>
                <w:sz w:val="24"/>
                <w:szCs w:val="24"/>
              </w:rPr>
              <w:t>Postural drop (sit –stand)</w:t>
            </w:r>
          </w:p>
        </w:tc>
        <w:tc>
          <w:tcPr>
            <w:tcW w:w="1440" w:type="dxa"/>
            <w:tcBorders>
              <w:top w:val="single" w:sz="4" w:space="0" w:color="auto"/>
              <w:left w:val="single" w:sz="4" w:space="0" w:color="auto"/>
              <w:bottom w:val="single" w:sz="4" w:space="0" w:color="auto"/>
              <w:right w:val="single" w:sz="4" w:space="0" w:color="auto"/>
            </w:tcBorders>
            <w:hideMark/>
          </w:tcPr>
          <w:p w14:paraId="6EADDB8C" w14:textId="77777777" w:rsidR="00CE5BED" w:rsidRPr="00CE5BED" w:rsidRDefault="00CE5BED" w:rsidP="002B437E">
            <w:pPr>
              <w:jc w:val="center"/>
              <w:rPr>
                <w:b/>
                <w:sz w:val="24"/>
                <w:szCs w:val="24"/>
              </w:rPr>
            </w:pPr>
            <w:r w:rsidRPr="00CE5BED">
              <w:rPr>
                <w:b/>
                <w:sz w:val="24"/>
                <w:szCs w:val="24"/>
              </w:rPr>
              <w:t>&gt;10</w:t>
            </w:r>
          </w:p>
        </w:tc>
        <w:tc>
          <w:tcPr>
            <w:tcW w:w="1440" w:type="dxa"/>
            <w:tcBorders>
              <w:top w:val="single" w:sz="4" w:space="0" w:color="auto"/>
              <w:left w:val="single" w:sz="4" w:space="0" w:color="auto"/>
              <w:bottom w:val="single" w:sz="4" w:space="0" w:color="auto"/>
              <w:right w:val="single" w:sz="4" w:space="0" w:color="auto"/>
            </w:tcBorders>
            <w:hideMark/>
          </w:tcPr>
          <w:p w14:paraId="1ECC7F59" w14:textId="77777777" w:rsidR="00CE5BED" w:rsidRPr="00CE5BED" w:rsidRDefault="00CE5BED" w:rsidP="002B437E">
            <w:pPr>
              <w:jc w:val="center"/>
              <w:rPr>
                <w:b/>
                <w:sz w:val="24"/>
                <w:szCs w:val="24"/>
              </w:rPr>
            </w:pPr>
            <w:r w:rsidRPr="00CE5BED">
              <w:rPr>
                <w:b/>
                <w:sz w:val="24"/>
                <w:szCs w:val="24"/>
              </w:rPr>
              <w:t>&gt;20</w:t>
            </w:r>
          </w:p>
        </w:tc>
      </w:tr>
      <w:tr w:rsidR="00CE5BED" w:rsidRPr="00CE5BED" w14:paraId="17B22DB9" w14:textId="77777777" w:rsidTr="00114D4D">
        <w:trPr>
          <w:trHeight w:val="277"/>
        </w:trPr>
        <w:tc>
          <w:tcPr>
            <w:tcW w:w="1547" w:type="dxa"/>
            <w:vMerge/>
            <w:tcBorders>
              <w:top w:val="double" w:sz="4" w:space="0" w:color="auto"/>
              <w:left w:val="single" w:sz="4" w:space="0" w:color="auto"/>
              <w:bottom w:val="double" w:sz="4" w:space="0" w:color="auto"/>
              <w:right w:val="single" w:sz="4" w:space="0" w:color="auto"/>
            </w:tcBorders>
            <w:vAlign w:val="center"/>
            <w:hideMark/>
          </w:tcPr>
          <w:p w14:paraId="3EF59D12" w14:textId="77777777" w:rsidR="00CE5BED" w:rsidRPr="00CE5BED" w:rsidRDefault="00CE5BED" w:rsidP="002B437E">
            <w:pPr>
              <w:rPr>
                <w:sz w:val="24"/>
                <w:szCs w:val="24"/>
              </w:rPr>
            </w:pPr>
          </w:p>
        </w:tc>
        <w:tc>
          <w:tcPr>
            <w:tcW w:w="3958" w:type="dxa"/>
            <w:tcBorders>
              <w:top w:val="single" w:sz="4" w:space="0" w:color="auto"/>
              <w:left w:val="single" w:sz="4" w:space="0" w:color="auto"/>
              <w:bottom w:val="single" w:sz="4" w:space="0" w:color="auto"/>
              <w:right w:val="single" w:sz="4" w:space="0" w:color="auto"/>
            </w:tcBorders>
            <w:hideMark/>
          </w:tcPr>
          <w:p w14:paraId="6F97A0EA" w14:textId="77777777" w:rsidR="00CE5BED" w:rsidRPr="00CE5BED" w:rsidRDefault="00CE5BED" w:rsidP="002B437E">
            <w:pPr>
              <w:rPr>
                <w:sz w:val="24"/>
                <w:szCs w:val="24"/>
              </w:rPr>
            </w:pPr>
            <w:r w:rsidRPr="00CE5BED">
              <w:rPr>
                <w:sz w:val="24"/>
                <w:szCs w:val="24"/>
              </w:rPr>
              <w:t>Pulse Rate</w:t>
            </w:r>
          </w:p>
        </w:tc>
        <w:tc>
          <w:tcPr>
            <w:tcW w:w="1440" w:type="dxa"/>
            <w:tcBorders>
              <w:top w:val="single" w:sz="4" w:space="0" w:color="auto"/>
              <w:left w:val="single" w:sz="4" w:space="0" w:color="auto"/>
              <w:bottom w:val="single" w:sz="4" w:space="0" w:color="auto"/>
              <w:right w:val="single" w:sz="4" w:space="0" w:color="auto"/>
            </w:tcBorders>
            <w:hideMark/>
          </w:tcPr>
          <w:p w14:paraId="270527FF" w14:textId="77777777" w:rsidR="00CE5BED" w:rsidRPr="00CE5BED" w:rsidRDefault="00CE5BED" w:rsidP="002B437E">
            <w:pPr>
              <w:jc w:val="center"/>
              <w:rPr>
                <w:b/>
                <w:sz w:val="24"/>
                <w:szCs w:val="24"/>
              </w:rPr>
            </w:pPr>
            <w:r w:rsidRPr="00CE5BED">
              <w:rPr>
                <w:b/>
                <w:sz w:val="24"/>
                <w:szCs w:val="24"/>
              </w:rPr>
              <w:t>&lt;50</w:t>
            </w:r>
          </w:p>
        </w:tc>
        <w:tc>
          <w:tcPr>
            <w:tcW w:w="1440" w:type="dxa"/>
            <w:tcBorders>
              <w:top w:val="single" w:sz="4" w:space="0" w:color="auto"/>
              <w:left w:val="single" w:sz="4" w:space="0" w:color="auto"/>
              <w:bottom w:val="single" w:sz="4" w:space="0" w:color="auto"/>
              <w:right w:val="single" w:sz="4" w:space="0" w:color="auto"/>
            </w:tcBorders>
            <w:hideMark/>
          </w:tcPr>
          <w:p w14:paraId="0BDC2633" w14:textId="77777777" w:rsidR="00CE5BED" w:rsidRPr="00CE5BED" w:rsidRDefault="00CE5BED" w:rsidP="002B437E">
            <w:pPr>
              <w:jc w:val="center"/>
              <w:rPr>
                <w:b/>
                <w:sz w:val="24"/>
                <w:szCs w:val="24"/>
              </w:rPr>
            </w:pPr>
            <w:r w:rsidRPr="00CE5BED">
              <w:rPr>
                <w:b/>
                <w:sz w:val="24"/>
                <w:szCs w:val="24"/>
              </w:rPr>
              <w:t>&lt;40</w:t>
            </w:r>
          </w:p>
        </w:tc>
      </w:tr>
      <w:tr w:rsidR="00CE5BED" w:rsidRPr="00CE5BED" w14:paraId="5804CB4B" w14:textId="77777777" w:rsidTr="00114D4D">
        <w:trPr>
          <w:trHeight w:val="277"/>
        </w:trPr>
        <w:tc>
          <w:tcPr>
            <w:tcW w:w="1547" w:type="dxa"/>
            <w:vMerge/>
            <w:tcBorders>
              <w:top w:val="double" w:sz="4" w:space="0" w:color="auto"/>
              <w:left w:val="single" w:sz="4" w:space="0" w:color="auto"/>
              <w:bottom w:val="double" w:sz="4" w:space="0" w:color="auto"/>
              <w:right w:val="single" w:sz="4" w:space="0" w:color="auto"/>
            </w:tcBorders>
            <w:vAlign w:val="center"/>
            <w:hideMark/>
          </w:tcPr>
          <w:p w14:paraId="2990D8B7" w14:textId="77777777" w:rsidR="00CE5BED" w:rsidRPr="00CE5BED" w:rsidRDefault="00CE5BED" w:rsidP="002B437E">
            <w:pPr>
              <w:rPr>
                <w:sz w:val="24"/>
                <w:szCs w:val="24"/>
              </w:rPr>
            </w:pPr>
          </w:p>
        </w:tc>
        <w:tc>
          <w:tcPr>
            <w:tcW w:w="3958" w:type="dxa"/>
            <w:tcBorders>
              <w:top w:val="single" w:sz="4" w:space="0" w:color="auto"/>
              <w:left w:val="single" w:sz="4" w:space="0" w:color="auto"/>
              <w:bottom w:val="double" w:sz="4" w:space="0" w:color="auto"/>
              <w:right w:val="single" w:sz="4" w:space="0" w:color="auto"/>
            </w:tcBorders>
            <w:hideMark/>
          </w:tcPr>
          <w:p w14:paraId="34D6BB66" w14:textId="77777777" w:rsidR="00CE5BED" w:rsidRPr="00CE5BED" w:rsidRDefault="00CE5BED" w:rsidP="002B437E">
            <w:pPr>
              <w:rPr>
                <w:sz w:val="24"/>
                <w:szCs w:val="24"/>
              </w:rPr>
            </w:pPr>
            <w:r w:rsidRPr="00CE5BED">
              <w:rPr>
                <w:sz w:val="24"/>
                <w:szCs w:val="24"/>
              </w:rPr>
              <w:t>Extremities</w:t>
            </w:r>
          </w:p>
        </w:tc>
        <w:tc>
          <w:tcPr>
            <w:tcW w:w="1440" w:type="dxa"/>
            <w:tcBorders>
              <w:top w:val="single" w:sz="4" w:space="0" w:color="auto"/>
              <w:left w:val="single" w:sz="4" w:space="0" w:color="auto"/>
              <w:bottom w:val="double" w:sz="4" w:space="0" w:color="auto"/>
              <w:right w:val="single" w:sz="4" w:space="0" w:color="auto"/>
            </w:tcBorders>
          </w:tcPr>
          <w:p w14:paraId="2CE00682" w14:textId="77777777" w:rsidR="00CE5BED" w:rsidRPr="00CE5BED" w:rsidRDefault="00CE5BED" w:rsidP="002B437E">
            <w:pPr>
              <w:jc w:val="center"/>
              <w:rPr>
                <w:b/>
                <w:sz w:val="24"/>
                <w:szCs w:val="24"/>
              </w:rPr>
            </w:pPr>
          </w:p>
        </w:tc>
        <w:tc>
          <w:tcPr>
            <w:tcW w:w="1440" w:type="dxa"/>
            <w:tcBorders>
              <w:top w:val="single" w:sz="4" w:space="0" w:color="auto"/>
              <w:left w:val="single" w:sz="4" w:space="0" w:color="auto"/>
              <w:bottom w:val="double" w:sz="4" w:space="0" w:color="auto"/>
              <w:right w:val="single" w:sz="4" w:space="0" w:color="auto"/>
            </w:tcBorders>
            <w:hideMark/>
          </w:tcPr>
          <w:p w14:paraId="29666386" w14:textId="77777777" w:rsidR="00CE5BED" w:rsidRPr="00CE5BED" w:rsidRDefault="00CE5BED" w:rsidP="002B437E">
            <w:pPr>
              <w:rPr>
                <w:b/>
                <w:sz w:val="24"/>
                <w:szCs w:val="24"/>
              </w:rPr>
            </w:pPr>
            <w:r w:rsidRPr="00CE5BED">
              <w:rPr>
                <w:b/>
                <w:sz w:val="24"/>
                <w:szCs w:val="24"/>
              </w:rPr>
              <w:t>Blue/ cold</w:t>
            </w:r>
          </w:p>
        </w:tc>
      </w:tr>
      <w:tr w:rsidR="00CE5BED" w:rsidRPr="00CE5BED" w14:paraId="053CA13C" w14:textId="77777777" w:rsidTr="00114D4D">
        <w:trPr>
          <w:trHeight w:val="207"/>
        </w:trPr>
        <w:tc>
          <w:tcPr>
            <w:tcW w:w="1547" w:type="dxa"/>
            <w:vMerge w:val="restart"/>
            <w:tcBorders>
              <w:top w:val="double" w:sz="4" w:space="0" w:color="auto"/>
              <w:left w:val="single" w:sz="4" w:space="0" w:color="auto"/>
              <w:bottom w:val="double" w:sz="4" w:space="0" w:color="auto"/>
              <w:right w:val="single" w:sz="4" w:space="0" w:color="auto"/>
            </w:tcBorders>
            <w:vAlign w:val="center"/>
            <w:hideMark/>
          </w:tcPr>
          <w:p w14:paraId="4AF7DE41" w14:textId="77777777" w:rsidR="00CE5BED" w:rsidRPr="00CE5BED" w:rsidRDefault="00CE5BED" w:rsidP="002B437E">
            <w:pPr>
              <w:rPr>
                <w:sz w:val="24"/>
                <w:szCs w:val="24"/>
              </w:rPr>
            </w:pPr>
            <w:r w:rsidRPr="00CE5BED">
              <w:rPr>
                <w:sz w:val="24"/>
                <w:szCs w:val="24"/>
              </w:rPr>
              <w:t>Musculo-skeletal</w:t>
            </w:r>
          </w:p>
          <w:p w14:paraId="22162D92" w14:textId="77777777" w:rsidR="00CE5BED" w:rsidRPr="00CE5BED" w:rsidRDefault="00CE5BED" w:rsidP="002B437E">
            <w:pPr>
              <w:rPr>
                <w:sz w:val="24"/>
                <w:szCs w:val="24"/>
              </w:rPr>
            </w:pPr>
            <w:r w:rsidRPr="00CE5BED">
              <w:rPr>
                <w:sz w:val="24"/>
                <w:szCs w:val="24"/>
              </w:rPr>
              <w:t xml:space="preserve">(squat Test </w:t>
            </w:r>
          </w:p>
          <w:p w14:paraId="47DEF83B" w14:textId="77777777" w:rsidR="00CE5BED" w:rsidRPr="00CE5BED" w:rsidRDefault="00CE5BED" w:rsidP="002B437E">
            <w:pPr>
              <w:rPr>
                <w:sz w:val="24"/>
                <w:szCs w:val="24"/>
              </w:rPr>
            </w:pPr>
            <w:r w:rsidRPr="00CE5BED">
              <w:rPr>
                <w:sz w:val="24"/>
                <w:szCs w:val="24"/>
              </w:rPr>
              <w:t>Sit up test)</w:t>
            </w:r>
          </w:p>
        </w:tc>
        <w:tc>
          <w:tcPr>
            <w:tcW w:w="3958" w:type="dxa"/>
            <w:tcBorders>
              <w:top w:val="double" w:sz="4" w:space="0" w:color="auto"/>
              <w:left w:val="single" w:sz="4" w:space="0" w:color="auto"/>
              <w:bottom w:val="single" w:sz="4" w:space="0" w:color="auto"/>
              <w:right w:val="single" w:sz="4" w:space="0" w:color="auto"/>
            </w:tcBorders>
            <w:hideMark/>
          </w:tcPr>
          <w:p w14:paraId="4FE5C021" w14:textId="77777777" w:rsidR="00CE5BED" w:rsidRPr="00CE5BED" w:rsidRDefault="00CE5BED" w:rsidP="002B437E">
            <w:pPr>
              <w:rPr>
                <w:sz w:val="24"/>
                <w:szCs w:val="24"/>
              </w:rPr>
            </w:pPr>
            <w:r w:rsidRPr="00CE5BED">
              <w:rPr>
                <w:sz w:val="24"/>
                <w:szCs w:val="24"/>
              </w:rPr>
              <w:t xml:space="preserve">Unable to get up without using arms for balance </w:t>
            </w:r>
          </w:p>
        </w:tc>
        <w:tc>
          <w:tcPr>
            <w:tcW w:w="1440" w:type="dxa"/>
            <w:tcBorders>
              <w:top w:val="double" w:sz="4" w:space="0" w:color="auto"/>
              <w:left w:val="single" w:sz="4" w:space="0" w:color="auto"/>
              <w:bottom w:val="single" w:sz="4" w:space="0" w:color="auto"/>
              <w:right w:val="single" w:sz="4" w:space="0" w:color="auto"/>
            </w:tcBorders>
            <w:vAlign w:val="center"/>
            <w:hideMark/>
          </w:tcPr>
          <w:p w14:paraId="3C08A3E1" w14:textId="77777777" w:rsidR="00CE5BED" w:rsidRPr="00CE5BED" w:rsidRDefault="00CE5BED" w:rsidP="002B437E">
            <w:pPr>
              <w:jc w:val="center"/>
              <w:rPr>
                <w:b/>
                <w:sz w:val="24"/>
                <w:szCs w:val="24"/>
              </w:rPr>
            </w:pPr>
            <w:r w:rsidRPr="00CE5BED">
              <w:rPr>
                <w:b/>
                <w:sz w:val="24"/>
                <w:szCs w:val="24"/>
              </w:rPr>
              <w:t>+</w:t>
            </w:r>
          </w:p>
        </w:tc>
        <w:tc>
          <w:tcPr>
            <w:tcW w:w="1440" w:type="dxa"/>
            <w:tcBorders>
              <w:top w:val="double" w:sz="4" w:space="0" w:color="auto"/>
              <w:left w:val="single" w:sz="4" w:space="0" w:color="auto"/>
              <w:bottom w:val="single" w:sz="4" w:space="0" w:color="auto"/>
              <w:right w:val="single" w:sz="4" w:space="0" w:color="auto"/>
            </w:tcBorders>
          </w:tcPr>
          <w:p w14:paraId="3283CC2D" w14:textId="44A4DBC8" w:rsidR="00CE5BED" w:rsidRPr="00CE5BED" w:rsidRDefault="00114D4D" w:rsidP="002B437E">
            <w:pPr>
              <w:jc w:val="center"/>
              <w:rPr>
                <w:b/>
                <w:sz w:val="24"/>
                <w:szCs w:val="24"/>
              </w:rPr>
            </w:pPr>
            <w:r w:rsidRPr="00CE5BED">
              <w:rPr>
                <w:b/>
                <w:sz w:val="24"/>
                <w:szCs w:val="24"/>
              </w:rPr>
              <w:t>+</w:t>
            </w:r>
          </w:p>
        </w:tc>
      </w:tr>
      <w:tr w:rsidR="00CE5BED" w:rsidRPr="00CE5BED" w14:paraId="69E45E68" w14:textId="77777777" w:rsidTr="00114D4D">
        <w:trPr>
          <w:trHeight w:val="206"/>
        </w:trPr>
        <w:tc>
          <w:tcPr>
            <w:tcW w:w="1547" w:type="dxa"/>
            <w:vMerge/>
            <w:tcBorders>
              <w:top w:val="double" w:sz="4" w:space="0" w:color="auto"/>
              <w:left w:val="single" w:sz="4" w:space="0" w:color="auto"/>
              <w:bottom w:val="double" w:sz="4" w:space="0" w:color="auto"/>
              <w:right w:val="single" w:sz="4" w:space="0" w:color="auto"/>
            </w:tcBorders>
            <w:vAlign w:val="center"/>
            <w:hideMark/>
          </w:tcPr>
          <w:p w14:paraId="020227D5" w14:textId="77777777" w:rsidR="00CE5BED" w:rsidRPr="00CE5BED" w:rsidRDefault="00CE5BED" w:rsidP="002B437E">
            <w:pPr>
              <w:rPr>
                <w:sz w:val="24"/>
                <w:szCs w:val="24"/>
              </w:rPr>
            </w:pPr>
          </w:p>
        </w:tc>
        <w:tc>
          <w:tcPr>
            <w:tcW w:w="3958" w:type="dxa"/>
            <w:tcBorders>
              <w:top w:val="single" w:sz="4" w:space="0" w:color="auto"/>
              <w:left w:val="single" w:sz="4" w:space="0" w:color="auto"/>
              <w:bottom w:val="single" w:sz="4" w:space="0" w:color="auto"/>
              <w:right w:val="single" w:sz="4" w:space="0" w:color="auto"/>
            </w:tcBorders>
            <w:hideMark/>
          </w:tcPr>
          <w:p w14:paraId="27BED03A" w14:textId="77777777" w:rsidR="00CE5BED" w:rsidRPr="00CE5BED" w:rsidRDefault="00CE5BED" w:rsidP="002B437E">
            <w:pPr>
              <w:rPr>
                <w:sz w:val="24"/>
                <w:szCs w:val="24"/>
              </w:rPr>
            </w:pPr>
            <w:r w:rsidRPr="00CE5BED">
              <w:rPr>
                <w:sz w:val="24"/>
                <w:szCs w:val="24"/>
              </w:rPr>
              <w:t>Unable to get up without using arms as leverage</w:t>
            </w:r>
          </w:p>
        </w:tc>
        <w:tc>
          <w:tcPr>
            <w:tcW w:w="1440" w:type="dxa"/>
            <w:tcBorders>
              <w:top w:val="single" w:sz="4" w:space="0" w:color="auto"/>
              <w:left w:val="single" w:sz="4" w:space="0" w:color="auto"/>
              <w:bottom w:val="single" w:sz="4" w:space="0" w:color="auto"/>
              <w:right w:val="single" w:sz="4" w:space="0" w:color="auto"/>
            </w:tcBorders>
          </w:tcPr>
          <w:p w14:paraId="5E46FD3D" w14:textId="1420AD4B" w:rsidR="00CE5BED" w:rsidRPr="00CE5BED" w:rsidRDefault="00114D4D" w:rsidP="002B437E">
            <w:pPr>
              <w:jc w:val="center"/>
              <w:rPr>
                <w:b/>
                <w:sz w:val="24"/>
                <w:szCs w:val="24"/>
              </w:rPr>
            </w:pPr>
            <w:r w:rsidRPr="00CE5BED">
              <w:rPr>
                <w:b/>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46DF888" w14:textId="77777777" w:rsidR="00CE5BED" w:rsidRPr="00CE5BED" w:rsidRDefault="00CE5BED" w:rsidP="002B437E">
            <w:pPr>
              <w:jc w:val="center"/>
              <w:rPr>
                <w:b/>
                <w:sz w:val="24"/>
                <w:szCs w:val="24"/>
              </w:rPr>
            </w:pPr>
            <w:r w:rsidRPr="00CE5BED">
              <w:rPr>
                <w:b/>
                <w:sz w:val="24"/>
                <w:szCs w:val="24"/>
              </w:rPr>
              <w:t>+</w:t>
            </w:r>
          </w:p>
        </w:tc>
      </w:tr>
      <w:tr w:rsidR="00CE5BED" w:rsidRPr="00CE5BED" w14:paraId="63BE2441" w14:textId="77777777" w:rsidTr="00114D4D">
        <w:trPr>
          <w:trHeight w:val="206"/>
        </w:trPr>
        <w:tc>
          <w:tcPr>
            <w:tcW w:w="1547" w:type="dxa"/>
            <w:vMerge/>
            <w:tcBorders>
              <w:top w:val="double" w:sz="4" w:space="0" w:color="auto"/>
              <w:left w:val="single" w:sz="4" w:space="0" w:color="auto"/>
              <w:bottom w:val="double" w:sz="4" w:space="0" w:color="auto"/>
              <w:right w:val="single" w:sz="4" w:space="0" w:color="auto"/>
            </w:tcBorders>
            <w:vAlign w:val="center"/>
            <w:hideMark/>
          </w:tcPr>
          <w:p w14:paraId="2429D0D2" w14:textId="77777777" w:rsidR="00CE5BED" w:rsidRPr="00CE5BED" w:rsidRDefault="00CE5BED" w:rsidP="002B437E">
            <w:pPr>
              <w:rPr>
                <w:sz w:val="24"/>
                <w:szCs w:val="24"/>
              </w:rPr>
            </w:pPr>
          </w:p>
        </w:tc>
        <w:tc>
          <w:tcPr>
            <w:tcW w:w="3958" w:type="dxa"/>
            <w:tcBorders>
              <w:top w:val="single" w:sz="4" w:space="0" w:color="auto"/>
              <w:left w:val="single" w:sz="4" w:space="0" w:color="auto"/>
              <w:bottom w:val="double" w:sz="4" w:space="0" w:color="auto"/>
              <w:right w:val="single" w:sz="4" w:space="0" w:color="auto"/>
            </w:tcBorders>
            <w:hideMark/>
          </w:tcPr>
          <w:p w14:paraId="733CC6DA" w14:textId="77777777" w:rsidR="00CE5BED" w:rsidRPr="00CE5BED" w:rsidRDefault="00CE5BED" w:rsidP="002B437E">
            <w:pPr>
              <w:rPr>
                <w:sz w:val="24"/>
                <w:szCs w:val="24"/>
              </w:rPr>
            </w:pPr>
            <w:r w:rsidRPr="00CE5BED">
              <w:rPr>
                <w:sz w:val="24"/>
                <w:szCs w:val="24"/>
              </w:rPr>
              <w:t>Unable to sit up at all</w:t>
            </w:r>
          </w:p>
        </w:tc>
        <w:tc>
          <w:tcPr>
            <w:tcW w:w="1440" w:type="dxa"/>
            <w:tcBorders>
              <w:top w:val="single" w:sz="4" w:space="0" w:color="auto"/>
              <w:left w:val="single" w:sz="4" w:space="0" w:color="auto"/>
              <w:bottom w:val="double" w:sz="4" w:space="0" w:color="auto"/>
              <w:right w:val="single" w:sz="4" w:space="0" w:color="auto"/>
            </w:tcBorders>
          </w:tcPr>
          <w:p w14:paraId="7DA58CBB" w14:textId="77777777" w:rsidR="00CE5BED" w:rsidRPr="00CE5BED" w:rsidRDefault="00CE5BED" w:rsidP="002B437E">
            <w:pPr>
              <w:jc w:val="center"/>
              <w:rPr>
                <w:b/>
                <w:sz w:val="24"/>
                <w:szCs w:val="24"/>
              </w:rPr>
            </w:pPr>
          </w:p>
        </w:tc>
        <w:tc>
          <w:tcPr>
            <w:tcW w:w="1440" w:type="dxa"/>
            <w:tcBorders>
              <w:top w:val="single" w:sz="4" w:space="0" w:color="auto"/>
              <w:left w:val="single" w:sz="4" w:space="0" w:color="auto"/>
              <w:bottom w:val="double" w:sz="4" w:space="0" w:color="auto"/>
              <w:right w:val="single" w:sz="4" w:space="0" w:color="auto"/>
            </w:tcBorders>
            <w:vAlign w:val="center"/>
            <w:hideMark/>
          </w:tcPr>
          <w:p w14:paraId="5314E5BB" w14:textId="77777777" w:rsidR="00CE5BED" w:rsidRPr="00CE5BED" w:rsidRDefault="00CE5BED" w:rsidP="002B437E">
            <w:pPr>
              <w:jc w:val="center"/>
              <w:rPr>
                <w:b/>
                <w:sz w:val="24"/>
                <w:szCs w:val="24"/>
              </w:rPr>
            </w:pPr>
            <w:r w:rsidRPr="00CE5BED">
              <w:rPr>
                <w:b/>
                <w:sz w:val="24"/>
                <w:szCs w:val="24"/>
              </w:rPr>
              <w:t>+</w:t>
            </w:r>
          </w:p>
        </w:tc>
      </w:tr>
      <w:tr w:rsidR="00CE5BED" w:rsidRPr="00CE5BED" w14:paraId="7D12D7FB" w14:textId="77777777" w:rsidTr="00114D4D">
        <w:trPr>
          <w:trHeight w:val="368"/>
        </w:trPr>
        <w:tc>
          <w:tcPr>
            <w:tcW w:w="1547" w:type="dxa"/>
            <w:tcBorders>
              <w:top w:val="double" w:sz="4" w:space="0" w:color="auto"/>
              <w:left w:val="single" w:sz="4" w:space="0" w:color="auto"/>
              <w:bottom w:val="double" w:sz="4" w:space="0" w:color="auto"/>
              <w:right w:val="single" w:sz="4" w:space="0" w:color="auto"/>
            </w:tcBorders>
            <w:vAlign w:val="center"/>
            <w:hideMark/>
          </w:tcPr>
          <w:p w14:paraId="1081ABFB" w14:textId="77777777" w:rsidR="00CE5BED" w:rsidRPr="00CE5BED" w:rsidRDefault="00CE5BED" w:rsidP="002B437E">
            <w:pPr>
              <w:rPr>
                <w:sz w:val="24"/>
                <w:szCs w:val="24"/>
              </w:rPr>
            </w:pPr>
            <w:r w:rsidRPr="00CE5BED">
              <w:rPr>
                <w:sz w:val="24"/>
                <w:szCs w:val="24"/>
              </w:rPr>
              <w:t>Temperature</w:t>
            </w:r>
          </w:p>
        </w:tc>
        <w:tc>
          <w:tcPr>
            <w:tcW w:w="3958" w:type="dxa"/>
            <w:tcBorders>
              <w:top w:val="double" w:sz="4" w:space="0" w:color="auto"/>
              <w:left w:val="single" w:sz="4" w:space="0" w:color="auto"/>
              <w:bottom w:val="double" w:sz="4" w:space="0" w:color="auto"/>
              <w:right w:val="single" w:sz="4" w:space="0" w:color="auto"/>
            </w:tcBorders>
          </w:tcPr>
          <w:p w14:paraId="59AF71E8" w14:textId="77777777" w:rsidR="00CE5BED" w:rsidRPr="00CE5BED" w:rsidRDefault="00CE5BED" w:rsidP="002B437E">
            <w:pPr>
              <w:rPr>
                <w:sz w:val="24"/>
                <w:szCs w:val="24"/>
              </w:rPr>
            </w:pPr>
          </w:p>
        </w:tc>
        <w:tc>
          <w:tcPr>
            <w:tcW w:w="1440" w:type="dxa"/>
            <w:tcBorders>
              <w:top w:val="double" w:sz="4" w:space="0" w:color="auto"/>
              <w:left w:val="single" w:sz="4" w:space="0" w:color="auto"/>
              <w:bottom w:val="double" w:sz="4" w:space="0" w:color="auto"/>
              <w:right w:val="single" w:sz="4" w:space="0" w:color="auto"/>
            </w:tcBorders>
            <w:hideMark/>
          </w:tcPr>
          <w:p w14:paraId="3AB1B430" w14:textId="77777777" w:rsidR="00CE5BED" w:rsidRPr="00CE5BED" w:rsidRDefault="00CE5BED" w:rsidP="002B437E">
            <w:pPr>
              <w:jc w:val="center"/>
              <w:rPr>
                <w:b/>
                <w:sz w:val="24"/>
                <w:szCs w:val="24"/>
              </w:rPr>
            </w:pPr>
            <w:r w:rsidRPr="00CE5BED">
              <w:rPr>
                <w:b/>
                <w:sz w:val="24"/>
                <w:szCs w:val="24"/>
              </w:rPr>
              <w:t>&lt;35C</w:t>
            </w:r>
          </w:p>
        </w:tc>
        <w:tc>
          <w:tcPr>
            <w:tcW w:w="1440" w:type="dxa"/>
            <w:tcBorders>
              <w:top w:val="double" w:sz="4" w:space="0" w:color="auto"/>
              <w:left w:val="single" w:sz="4" w:space="0" w:color="auto"/>
              <w:bottom w:val="double" w:sz="4" w:space="0" w:color="auto"/>
              <w:right w:val="single" w:sz="4" w:space="0" w:color="auto"/>
            </w:tcBorders>
            <w:hideMark/>
          </w:tcPr>
          <w:p w14:paraId="4E5A6649" w14:textId="77777777" w:rsidR="00CE5BED" w:rsidRPr="00CE5BED" w:rsidRDefault="00CE5BED" w:rsidP="002B437E">
            <w:pPr>
              <w:jc w:val="center"/>
              <w:rPr>
                <w:b/>
                <w:sz w:val="24"/>
                <w:szCs w:val="24"/>
              </w:rPr>
            </w:pPr>
            <w:r w:rsidRPr="00CE5BED">
              <w:rPr>
                <w:b/>
                <w:sz w:val="24"/>
                <w:szCs w:val="24"/>
              </w:rPr>
              <w:t>&lt;34.5</w:t>
            </w:r>
          </w:p>
        </w:tc>
      </w:tr>
      <w:tr w:rsidR="00CE5BED" w:rsidRPr="00CE5BED" w14:paraId="0286D3DA" w14:textId="77777777" w:rsidTr="00114D4D">
        <w:trPr>
          <w:trHeight w:val="54"/>
        </w:trPr>
        <w:tc>
          <w:tcPr>
            <w:tcW w:w="1547" w:type="dxa"/>
            <w:vMerge w:val="restart"/>
            <w:tcBorders>
              <w:top w:val="double" w:sz="4" w:space="0" w:color="auto"/>
              <w:left w:val="single" w:sz="4" w:space="0" w:color="auto"/>
              <w:bottom w:val="double" w:sz="4" w:space="0" w:color="auto"/>
              <w:right w:val="single" w:sz="4" w:space="0" w:color="auto"/>
            </w:tcBorders>
            <w:vAlign w:val="center"/>
            <w:hideMark/>
          </w:tcPr>
          <w:p w14:paraId="56F4B3BD" w14:textId="77777777" w:rsidR="00CE5BED" w:rsidRPr="00CE5BED" w:rsidRDefault="00CE5BED" w:rsidP="002B437E">
            <w:pPr>
              <w:rPr>
                <w:sz w:val="24"/>
                <w:szCs w:val="24"/>
              </w:rPr>
            </w:pPr>
            <w:r w:rsidRPr="00CE5BED">
              <w:rPr>
                <w:sz w:val="24"/>
                <w:szCs w:val="24"/>
              </w:rPr>
              <w:t>Bone Marrow</w:t>
            </w:r>
          </w:p>
        </w:tc>
        <w:tc>
          <w:tcPr>
            <w:tcW w:w="3958" w:type="dxa"/>
            <w:tcBorders>
              <w:top w:val="double" w:sz="4" w:space="0" w:color="auto"/>
              <w:left w:val="single" w:sz="4" w:space="0" w:color="auto"/>
              <w:bottom w:val="single" w:sz="4" w:space="0" w:color="auto"/>
              <w:right w:val="single" w:sz="4" w:space="0" w:color="auto"/>
            </w:tcBorders>
            <w:hideMark/>
          </w:tcPr>
          <w:p w14:paraId="04A047BC" w14:textId="77777777" w:rsidR="00CE5BED" w:rsidRPr="00CE5BED" w:rsidRDefault="00CE5BED" w:rsidP="002B437E">
            <w:pPr>
              <w:rPr>
                <w:sz w:val="24"/>
                <w:szCs w:val="24"/>
              </w:rPr>
            </w:pPr>
            <w:r w:rsidRPr="00CE5BED">
              <w:rPr>
                <w:sz w:val="24"/>
                <w:szCs w:val="24"/>
              </w:rPr>
              <w:t>White blood count</w:t>
            </w:r>
          </w:p>
        </w:tc>
        <w:tc>
          <w:tcPr>
            <w:tcW w:w="1440" w:type="dxa"/>
            <w:tcBorders>
              <w:top w:val="double" w:sz="4" w:space="0" w:color="auto"/>
              <w:left w:val="single" w:sz="4" w:space="0" w:color="auto"/>
              <w:bottom w:val="single" w:sz="4" w:space="0" w:color="auto"/>
              <w:right w:val="single" w:sz="4" w:space="0" w:color="auto"/>
            </w:tcBorders>
            <w:hideMark/>
          </w:tcPr>
          <w:p w14:paraId="13ECA442" w14:textId="77777777" w:rsidR="00CE5BED" w:rsidRPr="00CE5BED" w:rsidRDefault="00CE5BED" w:rsidP="002B437E">
            <w:pPr>
              <w:jc w:val="center"/>
              <w:rPr>
                <w:b/>
                <w:sz w:val="24"/>
                <w:szCs w:val="24"/>
              </w:rPr>
            </w:pPr>
            <w:r w:rsidRPr="00CE5BED">
              <w:rPr>
                <w:b/>
                <w:sz w:val="24"/>
                <w:szCs w:val="24"/>
              </w:rPr>
              <w:t>&lt;4.0</w:t>
            </w:r>
          </w:p>
        </w:tc>
        <w:tc>
          <w:tcPr>
            <w:tcW w:w="1440" w:type="dxa"/>
            <w:tcBorders>
              <w:top w:val="double" w:sz="4" w:space="0" w:color="auto"/>
              <w:left w:val="single" w:sz="4" w:space="0" w:color="auto"/>
              <w:bottom w:val="single" w:sz="4" w:space="0" w:color="auto"/>
              <w:right w:val="single" w:sz="4" w:space="0" w:color="auto"/>
            </w:tcBorders>
            <w:hideMark/>
          </w:tcPr>
          <w:p w14:paraId="78662ADA" w14:textId="77777777" w:rsidR="00CE5BED" w:rsidRPr="00CE5BED" w:rsidRDefault="00CE5BED" w:rsidP="002B437E">
            <w:pPr>
              <w:jc w:val="center"/>
              <w:rPr>
                <w:b/>
                <w:sz w:val="24"/>
                <w:szCs w:val="24"/>
              </w:rPr>
            </w:pPr>
            <w:r w:rsidRPr="00CE5BED">
              <w:rPr>
                <w:b/>
                <w:sz w:val="24"/>
                <w:szCs w:val="24"/>
              </w:rPr>
              <w:t>&lt;2</w:t>
            </w:r>
          </w:p>
        </w:tc>
      </w:tr>
      <w:tr w:rsidR="00CE5BED" w:rsidRPr="00CE5BED" w14:paraId="59A3BF38" w14:textId="77777777" w:rsidTr="00114D4D">
        <w:trPr>
          <w:trHeight w:val="54"/>
        </w:trPr>
        <w:tc>
          <w:tcPr>
            <w:tcW w:w="1547" w:type="dxa"/>
            <w:vMerge/>
            <w:tcBorders>
              <w:top w:val="double" w:sz="4" w:space="0" w:color="auto"/>
              <w:left w:val="single" w:sz="4" w:space="0" w:color="auto"/>
              <w:bottom w:val="double" w:sz="4" w:space="0" w:color="auto"/>
              <w:right w:val="single" w:sz="4" w:space="0" w:color="auto"/>
            </w:tcBorders>
            <w:vAlign w:val="center"/>
            <w:hideMark/>
          </w:tcPr>
          <w:p w14:paraId="0979FFFB" w14:textId="77777777" w:rsidR="00CE5BED" w:rsidRPr="00CE5BED" w:rsidRDefault="00CE5BED" w:rsidP="002B437E">
            <w:pPr>
              <w:rPr>
                <w:sz w:val="24"/>
                <w:szCs w:val="24"/>
              </w:rPr>
            </w:pPr>
          </w:p>
        </w:tc>
        <w:tc>
          <w:tcPr>
            <w:tcW w:w="3958" w:type="dxa"/>
            <w:tcBorders>
              <w:top w:val="single" w:sz="4" w:space="0" w:color="auto"/>
              <w:left w:val="single" w:sz="4" w:space="0" w:color="auto"/>
              <w:bottom w:val="single" w:sz="4" w:space="0" w:color="auto"/>
              <w:right w:val="single" w:sz="4" w:space="0" w:color="auto"/>
            </w:tcBorders>
            <w:hideMark/>
          </w:tcPr>
          <w:p w14:paraId="285DF2FD" w14:textId="77777777" w:rsidR="00CE5BED" w:rsidRPr="00CE5BED" w:rsidRDefault="00CE5BED" w:rsidP="002B437E">
            <w:pPr>
              <w:rPr>
                <w:sz w:val="24"/>
                <w:szCs w:val="24"/>
              </w:rPr>
            </w:pPr>
            <w:r w:rsidRPr="00CE5BED">
              <w:rPr>
                <w:sz w:val="24"/>
                <w:szCs w:val="24"/>
              </w:rPr>
              <w:t>Neutrophil count</w:t>
            </w:r>
          </w:p>
        </w:tc>
        <w:tc>
          <w:tcPr>
            <w:tcW w:w="1440" w:type="dxa"/>
            <w:tcBorders>
              <w:top w:val="single" w:sz="4" w:space="0" w:color="auto"/>
              <w:left w:val="single" w:sz="4" w:space="0" w:color="auto"/>
              <w:bottom w:val="single" w:sz="4" w:space="0" w:color="auto"/>
              <w:right w:val="single" w:sz="4" w:space="0" w:color="auto"/>
            </w:tcBorders>
            <w:hideMark/>
          </w:tcPr>
          <w:p w14:paraId="373FA43A" w14:textId="77777777" w:rsidR="00CE5BED" w:rsidRPr="00CE5BED" w:rsidRDefault="00CE5BED" w:rsidP="002B437E">
            <w:pPr>
              <w:jc w:val="center"/>
              <w:rPr>
                <w:b/>
                <w:sz w:val="24"/>
                <w:szCs w:val="24"/>
              </w:rPr>
            </w:pPr>
            <w:r w:rsidRPr="00CE5BED">
              <w:rPr>
                <w:b/>
                <w:sz w:val="24"/>
                <w:szCs w:val="24"/>
              </w:rPr>
              <w:t>&lt;1.5</w:t>
            </w:r>
          </w:p>
        </w:tc>
        <w:tc>
          <w:tcPr>
            <w:tcW w:w="1440" w:type="dxa"/>
            <w:tcBorders>
              <w:top w:val="single" w:sz="4" w:space="0" w:color="auto"/>
              <w:left w:val="single" w:sz="4" w:space="0" w:color="auto"/>
              <w:bottom w:val="single" w:sz="4" w:space="0" w:color="auto"/>
              <w:right w:val="single" w:sz="4" w:space="0" w:color="auto"/>
            </w:tcBorders>
            <w:hideMark/>
          </w:tcPr>
          <w:p w14:paraId="1F8C04E0" w14:textId="77777777" w:rsidR="00CE5BED" w:rsidRPr="00CE5BED" w:rsidRDefault="00CE5BED" w:rsidP="002B437E">
            <w:pPr>
              <w:jc w:val="center"/>
              <w:rPr>
                <w:b/>
                <w:sz w:val="24"/>
                <w:szCs w:val="24"/>
              </w:rPr>
            </w:pPr>
            <w:r w:rsidRPr="00CE5BED">
              <w:rPr>
                <w:b/>
                <w:sz w:val="24"/>
                <w:szCs w:val="24"/>
              </w:rPr>
              <w:t>&lt;1.0</w:t>
            </w:r>
          </w:p>
        </w:tc>
      </w:tr>
      <w:tr w:rsidR="00CE5BED" w:rsidRPr="00CE5BED" w14:paraId="7A5B39A7" w14:textId="77777777" w:rsidTr="00114D4D">
        <w:trPr>
          <w:trHeight w:val="54"/>
        </w:trPr>
        <w:tc>
          <w:tcPr>
            <w:tcW w:w="1547" w:type="dxa"/>
            <w:vMerge/>
            <w:tcBorders>
              <w:top w:val="double" w:sz="4" w:space="0" w:color="auto"/>
              <w:left w:val="single" w:sz="4" w:space="0" w:color="auto"/>
              <w:bottom w:val="double" w:sz="4" w:space="0" w:color="auto"/>
              <w:right w:val="single" w:sz="4" w:space="0" w:color="auto"/>
            </w:tcBorders>
            <w:vAlign w:val="center"/>
            <w:hideMark/>
          </w:tcPr>
          <w:p w14:paraId="79EBA9DF" w14:textId="77777777" w:rsidR="00CE5BED" w:rsidRPr="00CE5BED" w:rsidRDefault="00CE5BED" w:rsidP="002B437E">
            <w:pPr>
              <w:rPr>
                <w:sz w:val="24"/>
                <w:szCs w:val="24"/>
              </w:rPr>
            </w:pPr>
          </w:p>
        </w:tc>
        <w:tc>
          <w:tcPr>
            <w:tcW w:w="3958" w:type="dxa"/>
            <w:tcBorders>
              <w:top w:val="single" w:sz="4" w:space="0" w:color="auto"/>
              <w:left w:val="single" w:sz="4" w:space="0" w:color="auto"/>
              <w:bottom w:val="single" w:sz="4" w:space="0" w:color="auto"/>
              <w:right w:val="single" w:sz="4" w:space="0" w:color="auto"/>
            </w:tcBorders>
            <w:hideMark/>
          </w:tcPr>
          <w:p w14:paraId="60E0CABE" w14:textId="77777777" w:rsidR="00CE5BED" w:rsidRPr="00CE5BED" w:rsidRDefault="00CE5BED" w:rsidP="002B437E">
            <w:pPr>
              <w:rPr>
                <w:sz w:val="24"/>
                <w:szCs w:val="24"/>
              </w:rPr>
            </w:pPr>
            <w:r w:rsidRPr="00CE5BED">
              <w:rPr>
                <w:sz w:val="24"/>
                <w:szCs w:val="24"/>
              </w:rPr>
              <w:t>Haemoglobin</w:t>
            </w:r>
          </w:p>
        </w:tc>
        <w:tc>
          <w:tcPr>
            <w:tcW w:w="1440" w:type="dxa"/>
            <w:tcBorders>
              <w:top w:val="single" w:sz="4" w:space="0" w:color="auto"/>
              <w:left w:val="single" w:sz="4" w:space="0" w:color="auto"/>
              <w:bottom w:val="single" w:sz="4" w:space="0" w:color="auto"/>
              <w:right w:val="single" w:sz="4" w:space="0" w:color="auto"/>
            </w:tcBorders>
            <w:hideMark/>
          </w:tcPr>
          <w:p w14:paraId="2ACEC93F" w14:textId="77777777" w:rsidR="00CE5BED" w:rsidRPr="00CE5BED" w:rsidRDefault="00CE5BED" w:rsidP="002B437E">
            <w:pPr>
              <w:jc w:val="center"/>
              <w:rPr>
                <w:b/>
                <w:sz w:val="24"/>
                <w:szCs w:val="24"/>
              </w:rPr>
            </w:pPr>
            <w:r w:rsidRPr="00CE5BED">
              <w:rPr>
                <w:b/>
                <w:sz w:val="24"/>
                <w:szCs w:val="24"/>
              </w:rPr>
              <w:t>&lt;11</w:t>
            </w:r>
          </w:p>
        </w:tc>
        <w:tc>
          <w:tcPr>
            <w:tcW w:w="1440" w:type="dxa"/>
            <w:tcBorders>
              <w:top w:val="single" w:sz="4" w:space="0" w:color="auto"/>
              <w:left w:val="single" w:sz="4" w:space="0" w:color="auto"/>
              <w:bottom w:val="single" w:sz="4" w:space="0" w:color="auto"/>
              <w:right w:val="single" w:sz="4" w:space="0" w:color="auto"/>
            </w:tcBorders>
            <w:hideMark/>
          </w:tcPr>
          <w:p w14:paraId="5A0B30C7" w14:textId="77777777" w:rsidR="00CE5BED" w:rsidRPr="00CE5BED" w:rsidRDefault="00CE5BED" w:rsidP="002B437E">
            <w:pPr>
              <w:jc w:val="center"/>
              <w:rPr>
                <w:b/>
                <w:sz w:val="24"/>
                <w:szCs w:val="24"/>
              </w:rPr>
            </w:pPr>
            <w:r w:rsidRPr="00CE5BED">
              <w:rPr>
                <w:b/>
                <w:sz w:val="24"/>
                <w:szCs w:val="24"/>
              </w:rPr>
              <w:t>&lt;9.0</w:t>
            </w:r>
          </w:p>
        </w:tc>
      </w:tr>
      <w:tr w:rsidR="00CE5BED" w:rsidRPr="00CE5BED" w14:paraId="492E246C" w14:textId="77777777" w:rsidTr="00114D4D">
        <w:trPr>
          <w:trHeight w:val="54"/>
        </w:trPr>
        <w:tc>
          <w:tcPr>
            <w:tcW w:w="1547" w:type="dxa"/>
            <w:vMerge/>
            <w:tcBorders>
              <w:top w:val="double" w:sz="4" w:space="0" w:color="auto"/>
              <w:left w:val="single" w:sz="4" w:space="0" w:color="auto"/>
              <w:bottom w:val="double" w:sz="4" w:space="0" w:color="auto"/>
              <w:right w:val="single" w:sz="4" w:space="0" w:color="auto"/>
            </w:tcBorders>
            <w:vAlign w:val="center"/>
            <w:hideMark/>
          </w:tcPr>
          <w:p w14:paraId="18BFA312" w14:textId="77777777" w:rsidR="00CE5BED" w:rsidRPr="00CE5BED" w:rsidRDefault="00CE5BED" w:rsidP="002B437E">
            <w:pPr>
              <w:rPr>
                <w:sz w:val="24"/>
                <w:szCs w:val="24"/>
              </w:rPr>
            </w:pPr>
          </w:p>
        </w:tc>
        <w:tc>
          <w:tcPr>
            <w:tcW w:w="3958" w:type="dxa"/>
            <w:tcBorders>
              <w:top w:val="single" w:sz="4" w:space="0" w:color="auto"/>
              <w:left w:val="single" w:sz="4" w:space="0" w:color="auto"/>
              <w:bottom w:val="single" w:sz="4" w:space="0" w:color="auto"/>
              <w:right w:val="single" w:sz="4" w:space="0" w:color="auto"/>
            </w:tcBorders>
            <w:hideMark/>
          </w:tcPr>
          <w:p w14:paraId="0ADFB67E" w14:textId="77777777" w:rsidR="00CE5BED" w:rsidRPr="00CE5BED" w:rsidRDefault="00CE5BED" w:rsidP="002B437E">
            <w:pPr>
              <w:rPr>
                <w:sz w:val="24"/>
                <w:szCs w:val="24"/>
              </w:rPr>
            </w:pPr>
            <w:r w:rsidRPr="00CE5BED">
              <w:rPr>
                <w:sz w:val="24"/>
                <w:szCs w:val="24"/>
              </w:rPr>
              <w:t>Acute Hb drop</w:t>
            </w:r>
          </w:p>
          <w:p w14:paraId="4368C827" w14:textId="77777777" w:rsidR="00CE5BED" w:rsidRPr="00CE5BED" w:rsidRDefault="00CE5BED" w:rsidP="002B437E">
            <w:pPr>
              <w:rPr>
                <w:sz w:val="24"/>
                <w:szCs w:val="24"/>
              </w:rPr>
            </w:pPr>
            <w:r w:rsidRPr="00CE5BED">
              <w:rPr>
                <w:sz w:val="24"/>
                <w:szCs w:val="24"/>
              </w:rPr>
              <w:t>(MCV and MCH raised – no acute risk)</w:t>
            </w:r>
          </w:p>
        </w:tc>
        <w:tc>
          <w:tcPr>
            <w:tcW w:w="1440" w:type="dxa"/>
            <w:tcBorders>
              <w:top w:val="single" w:sz="4" w:space="0" w:color="auto"/>
              <w:left w:val="single" w:sz="4" w:space="0" w:color="auto"/>
              <w:bottom w:val="single" w:sz="4" w:space="0" w:color="auto"/>
              <w:right w:val="single" w:sz="4" w:space="0" w:color="auto"/>
            </w:tcBorders>
          </w:tcPr>
          <w:p w14:paraId="25D36BD8" w14:textId="77777777" w:rsidR="00CE5BED" w:rsidRPr="00CE5BED" w:rsidRDefault="00CE5BED" w:rsidP="002B437E">
            <w:pPr>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3ADCF19F" w14:textId="77777777" w:rsidR="00CE5BED" w:rsidRPr="00CE5BED" w:rsidRDefault="00CE5BED" w:rsidP="002B437E">
            <w:pPr>
              <w:jc w:val="center"/>
              <w:rPr>
                <w:b/>
                <w:sz w:val="24"/>
                <w:szCs w:val="24"/>
              </w:rPr>
            </w:pPr>
            <w:r w:rsidRPr="00CE5BED">
              <w:rPr>
                <w:b/>
                <w:sz w:val="24"/>
                <w:szCs w:val="24"/>
              </w:rPr>
              <w:t>+</w:t>
            </w:r>
          </w:p>
        </w:tc>
      </w:tr>
      <w:tr w:rsidR="00CE5BED" w:rsidRPr="00CE5BED" w14:paraId="489FF145" w14:textId="77777777" w:rsidTr="00114D4D">
        <w:trPr>
          <w:trHeight w:val="54"/>
        </w:trPr>
        <w:tc>
          <w:tcPr>
            <w:tcW w:w="1547" w:type="dxa"/>
            <w:vMerge/>
            <w:tcBorders>
              <w:top w:val="double" w:sz="4" w:space="0" w:color="auto"/>
              <w:left w:val="single" w:sz="4" w:space="0" w:color="auto"/>
              <w:bottom w:val="double" w:sz="4" w:space="0" w:color="auto"/>
              <w:right w:val="single" w:sz="4" w:space="0" w:color="auto"/>
            </w:tcBorders>
            <w:vAlign w:val="center"/>
            <w:hideMark/>
          </w:tcPr>
          <w:p w14:paraId="0A381DE7" w14:textId="77777777" w:rsidR="00CE5BED" w:rsidRPr="00CE5BED" w:rsidRDefault="00CE5BED" w:rsidP="002B437E">
            <w:pPr>
              <w:rPr>
                <w:sz w:val="24"/>
                <w:szCs w:val="24"/>
              </w:rPr>
            </w:pPr>
          </w:p>
        </w:tc>
        <w:tc>
          <w:tcPr>
            <w:tcW w:w="3958" w:type="dxa"/>
            <w:tcBorders>
              <w:top w:val="single" w:sz="4" w:space="0" w:color="auto"/>
              <w:left w:val="single" w:sz="4" w:space="0" w:color="auto"/>
              <w:bottom w:val="double" w:sz="4" w:space="0" w:color="auto"/>
              <w:right w:val="single" w:sz="4" w:space="0" w:color="auto"/>
            </w:tcBorders>
            <w:hideMark/>
          </w:tcPr>
          <w:p w14:paraId="25DFD227" w14:textId="77777777" w:rsidR="00CE5BED" w:rsidRPr="00CE5BED" w:rsidRDefault="00CE5BED" w:rsidP="002B437E">
            <w:pPr>
              <w:rPr>
                <w:sz w:val="24"/>
                <w:szCs w:val="24"/>
              </w:rPr>
            </w:pPr>
            <w:r w:rsidRPr="00CE5BED">
              <w:rPr>
                <w:sz w:val="24"/>
                <w:szCs w:val="24"/>
              </w:rPr>
              <w:t>Platelets</w:t>
            </w:r>
          </w:p>
        </w:tc>
        <w:tc>
          <w:tcPr>
            <w:tcW w:w="1440" w:type="dxa"/>
            <w:tcBorders>
              <w:top w:val="single" w:sz="4" w:space="0" w:color="auto"/>
              <w:left w:val="single" w:sz="4" w:space="0" w:color="auto"/>
              <w:bottom w:val="double" w:sz="4" w:space="0" w:color="auto"/>
              <w:right w:val="single" w:sz="4" w:space="0" w:color="auto"/>
            </w:tcBorders>
            <w:hideMark/>
          </w:tcPr>
          <w:p w14:paraId="168DF498" w14:textId="77777777" w:rsidR="00CE5BED" w:rsidRPr="00CE5BED" w:rsidRDefault="00CE5BED" w:rsidP="002B437E">
            <w:pPr>
              <w:jc w:val="center"/>
              <w:rPr>
                <w:b/>
                <w:sz w:val="24"/>
                <w:szCs w:val="24"/>
              </w:rPr>
            </w:pPr>
            <w:r w:rsidRPr="00CE5BED">
              <w:rPr>
                <w:b/>
                <w:sz w:val="24"/>
                <w:szCs w:val="24"/>
              </w:rPr>
              <w:t>&lt;130</w:t>
            </w:r>
          </w:p>
        </w:tc>
        <w:tc>
          <w:tcPr>
            <w:tcW w:w="1440" w:type="dxa"/>
            <w:tcBorders>
              <w:top w:val="single" w:sz="4" w:space="0" w:color="auto"/>
              <w:left w:val="single" w:sz="4" w:space="0" w:color="auto"/>
              <w:bottom w:val="double" w:sz="4" w:space="0" w:color="auto"/>
              <w:right w:val="single" w:sz="4" w:space="0" w:color="auto"/>
            </w:tcBorders>
            <w:hideMark/>
          </w:tcPr>
          <w:p w14:paraId="5EED1733" w14:textId="77777777" w:rsidR="00CE5BED" w:rsidRPr="00CE5BED" w:rsidRDefault="00CE5BED" w:rsidP="002B437E">
            <w:pPr>
              <w:jc w:val="center"/>
              <w:rPr>
                <w:b/>
                <w:sz w:val="24"/>
                <w:szCs w:val="24"/>
              </w:rPr>
            </w:pPr>
            <w:r w:rsidRPr="00CE5BED">
              <w:rPr>
                <w:b/>
                <w:sz w:val="24"/>
                <w:szCs w:val="24"/>
              </w:rPr>
              <w:t>&lt;110</w:t>
            </w:r>
          </w:p>
        </w:tc>
      </w:tr>
      <w:tr w:rsidR="00CE5BED" w:rsidRPr="00CE5BED" w14:paraId="58BD13B2" w14:textId="77777777" w:rsidTr="00114D4D">
        <w:trPr>
          <w:trHeight w:val="111"/>
        </w:trPr>
        <w:tc>
          <w:tcPr>
            <w:tcW w:w="1547" w:type="dxa"/>
            <w:vMerge w:val="restart"/>
            <w:tcBorders>
              <w:top w:val="double" w:sz="4" w:space="0" w:color="auto"/>
              <w:left w:val="single" w:sz="4" w:space="0" w:color="auto"/>
              <w:bottom w:val="double" w:sz="4" w:space="0" w:color="auto"/>
              <w:right w:val="single" w:sz="4" w:space="0" w:color="auto"/>
            </w:tcBorders>
            <w:vAlign w:val="center"/>
            <w:hideMark/>
          </w:tcPr>
          <w:p w14:paraId="3AF7B391" w14:textId="77777777" w:rsidR="00CE5BED" w:rsidRPr="00CE5BED" w:rsidRDefault="00CE5BED" w:rsidP="002B437E">
            <w:pPr>
              <w:rPr>
                <w:sz w:val="24"/>
                <w:szCs w:val="24"/>
              </w:rPr>
            </w:pPr>
            <w:r w:rsidRPr="00CE5BED">
              <w:rPr>
                <w:sz w:val="24"/>
                <w:szCs w:val="24"/>
              </w:rPr>
              <w:t>Salt /water</w:t>
            </w:r>
          </w:p>
          <w:p w14:paraId="4BB090CD" w14:textId="77777777" w:rsidR="00CE5BED" w:rsidRPr="00CE5BED" w:rsidRDefault="00CE5BED" w:rsidP="002B437E">
            <w:pPr>
              <w:rPr>
                <w:sz w:val="24"/>
                <w:szCs w:val="24"/>
              </w:rPr>
            </w:pPr>
            <w:r w:rsidRPr="00CE5BED">
              <w:rPr>
                <w:sz w:val="24"/>
                <w:szCs w:val="24"/>
              </w:rPr>
              <w:t>balance</w:t>
            </w:r>
          </w:p>
        </w:tc>
        <w:tc>
          <w:tcPr>
            <w:tcW w:w="3958" w:type="dxa"/>
            <w:tcBorders>
              <w:top w:val="double" w:sz="4" w:space="0" w:color="auto"/>
              <w:left w:val="single" w:sz="4" w:space="0" w:color="auto"/>
              <w:bottom w:val="single" w:sz="4" w:space="0" w:color="auto"/>
              <w:right w:val="single" w:sz="4" w:space="0" w:color="auto"/>
            </w:tcBorders>
            <w:hideMark/>
          </w:tcPr>
          <w:p w14:paraId="4FAFDB1E" w14:textId="77777777" w:rsidR="00CE5BED" w:rsidRPr="00CE5BED" w:rsidRDefault="00CE5BED" w:rsidP="002B437E">
            <w:pPr>
              <w:rPr>
                <w:sz w:val="24"/>
                <w:szCs w:val="24"/>
              </w:rPr>
            </w:pPr>
            <w:r w:rsidRPr="00CE5BED">
              <w:rPr>
                <w:sz w:val="24"/>
                <w:szCs w:val="24"/>
              </w:rPr>
              <w:t>K+</w:t>
            </w:r>
          </w:p>
        </w:tc>
        <w:tc>
          <w:tcPr>
            <w:tcW w:w="1440" w:type="dxa"/>
            <w:tcBorders>
              <w:top w:val="double" w:sz="4" w:space="0" w:color="auto"/>
              <w:left w:val="single" w:sz="4" w:space="0" w:color="auto"/>
              <w:bottom w:val="single" w:sz="4" w:space="0" w:color="auto"/>
              <w:right w:val="single" w:sz="4" w:space="0" w:color="auto"/>
            </w:tcBorders>
            <w:hideMark/>
          </w:tcPr>
          <w:p w14:paraId="2875F527" w14:textId="77777777" w:rsidR="00CE5BED" w:rsidRPr="00CE5BED" w:rsidRDefault="00CE5BED" w:rsidP="002B437E">
            <w:pPr>
              <w:jc w:val="center"/>
              <w:rPr>
                <w:b/>
                <w:sz w:val="24"/>
                <w:szCs w:val="24"/>
              </w:rPr>
            </w:pPr>
            <w:r w:rsidRPr="00CE5BED">
              <w:rPr>
                <w:b/>
                <w:sz w:val="24"/>
                <w:szCs w:val="24"/>
              </w:rPr>
              <w:t>&lt;3.5</w:t>
            </w:r>
          </w:p>
        </w:tc>
        <w:tc>
          <w:tcPr>
            <w:tcW w:w="1440" w:type="dxa"/>
            <w:tcBorders>
              <w:top w:val="double" w:sz="4" w:space="0" w:color="auto"/>
              <w:left w:val="single" w:sz="4" w:space="0" w:color="auto"/>
              <w:bottom w:val="single" w:sz="4" w:space="0" w:color="auto"/>
              <w:right w:val="single" w:sz="4" w:space="0" w:color="auto"/>
            </w:tcBorders>
            <w:hideMark/>
          </w:tcPr>
          <w:p w14:paraId="504A982F" w14:textId="77777777" w:rsidR="00CE5BED" w:rsidRPr="00CE5BED" w:rsidRDefault="00CE5BED" w:rsidP="002B437E">
            <w:pPr>
              <w:jc w:val="center"/>
              <w:rPr>
                <w:b/>
                <w:sz w:val="24"/>
                <w:szCs w:val="24"/>
              </w:rPr>
            </w:pPr>
            <w:r w:rsidRPr="00CE5BED">
              <w:rPr>
                <w:b/>
                <w:sz w:val="24"/>
                <w:szCs w:val="24"/>
              </w:rPr>
              <w:t>&lt;3.0</w:t>
            </w:r>
          </w:p>
        </w:tc>
      </w:tr>
      <w:tr w:rsidR="00CE5BED" w:rsidRPr="00CE5BED" w14:paraId="2D956C26" w14:textId="77777777" w:rsidTr="00114D4D">
        <w:trPr>
          <w:trHeight w:val="111"/>
        </w:trPr>
        <w:tc>
          <w:tcPr>
            <w:tcW w:w="1547" w:type="dxa"/>
            <w:vMerge/>
            <w:tcBorders>
              <w:top w:val="double" w:sz="4" w:space="0" w:color="auto"/>
              <w:left w:val="single" w:sz="4" w:space="0" w:color="auto"/>
              <w:bottom w:val="double" w:sz="4" w:space="0" w:color="auto"/>
              <w:right w:val="single" w:sz="4" w:space="0" w:color="auto"/>
            </w:tcBorders>
            <w:vAlign w:val="center"/>
            <w:hideMark/>
          </w:tcPr>
          <w:p w14:paraId="68A97E96" w14:textId="77777777" w:rsidR="00CE5BED" w:rsidRPr="00CE5BED" w:rsidRDefault="00CE5BED" w:rsidP="002B437E">
            <w:pPr>
              <w:rPr>
                <w:sz w:val="24"/>
                <w:szCs w:val="24"/>
              </w:rPr>
            </w:pPr>
          </w:p>
        </w:tc>
        <w:tc>
          <w:tcPr>
            <w:tcW w:w="3958" w:type="dxa"/>
            <w:tcBorders>
              <w:top w:val="single" w:sz="4" w:space="0" w:color="auto"/>
              <w:left w:val="single" w:sz="4" w:space="0" w:color="auto"/>
              <w:bottom w:val="single" w:sz="4" w:space="0" w:color="auto"/>
              <w:right w:val="single" w:sz="4" w:space="0" w:color="auto"/>
            </w:tcBorders>
            <w:hideMark/>
          </w:tcPr>
          <w:p w14:paraId="496A220C" w14:textId="77777777" w:rsidR="00CE5BED" w:rsidRPr="00CE5BED" w:rsidRDefault="00CE5BED" w:rsidP="002B437E">
            <w:pPr>
              <w:rPr>
                <w:sz w:val="24"/>
                <w:szCs w:val="24"/>
              </w:rPr>
            </w:pPr>
            <w:r w:rsidRPr="00CE5BED">
              <w:rPr>
                <w:sz w:val="24"/>
                <w:szCs w:val="24"/>
              </w:rPr>
              <w:t>Na+</w:t>
            </w:r>
          </w:p>
        </w:tc>
        <w:tc>
          <w:tcPr>
            <w:tcW w:w="1440" w:type="dxa"/>
            <w:tcBorders>
              <w:top w:val="single" w:sz="4" w:space="0" w:color="auto"/>
              <w:left w:val="single" w:sz="4" w:space="0" w:color="auto"/>
              <w:bottom w:val="single" w:sz="4" w:space="0" w:color="auto"/>
              <w:right w:val="single" w:sz="4" w:space="0" w:color="auto"/>
            </w:tcBorders>
            <w:hideMark/>
          </w:tcPr>
          <w:p w14:paraId="07A9133C" w14:textId="77777777" w:rsidR="00CE5BED" w:rsidRPr="00CE5BED" w:rsidRDefault="00CE5BED" w:rsidP="002B437E">
            <w:pPr>
              <w:jc w:val="center"/>
              <w:rPr>
                <w:b/>
                <w:sz w:val="24"/>
                <w:szCs w:val="24"/>
              </w:rPr>
            </w:pPr>
            <w:r w:rsidRPr="00CE5BED">
              <w:rPr>
                <w:b/>
                <w:sz w:val="24"/>
                <w:szCs w:val="24"/>
              </w:rPr>
              <w:t>&lt;135</w:t>
            </w:r>
          </w:p>
        </w:tc>
        <w:tc>
          <w:tcPr>
            <w:tcW w:w="1440" w:type="dxa"/>
            <w:tcBorders>
              <w:top w:val="single" w:sz="4" w:space="0" w:color="auto"/>
              <w:left w:val="single" w:sz="4" w:space="0" w:color="auto"/>
              <w:bottom w:val="single" w:sz="4" w:space="0" w:color="auto"/>
              <w:right w:val="single" w:sz="4" w:space="0" w:color="auto"/>
            </w:tcBorders>
            <w:hideMark/>
          </w:tcPr>
          <w:p w14:paraId="7C539559" w14:textId="77777777" w:rsidR="00CE5BED" w:rsidRPr="00CE5BED" w:rsidRDefault="00CE5BED" w:rsidP="002B437E">
            <w:pPr>
              <w:jc w:val="center"/>
              <w:rPr>
                <w:b/>
                <w:sz w:val="24"/>
                <w:szCs w:val="24"/>
              </w:rPr>
            </w:pPr>
            <w:r w:rsidRPr="00CE5BED">
              <w:rPr>
                <w:b/>
                <w:sz w:val="24"/>
                <w:szCs w:val="24"/>
              </w:rPr>
              <w:t>&lt;130</w:t>
            </w:r>
          </w:p>
        </w:tc>
      </w:tr>
      <w:tr w:rsidR="00CE5BED" w:rsidRPr="00CE5BED" w14:paraId="668B586D" w14:textId="77777777" w:rsidTr="00114D4D">
        <w:trPr>
          <w:trHeight w:val="111"/>
        </w:trPr>
        <w:tc>
          <w:tcPr>
            <w:tcW w:w="1547" w:type="dxa"/>
            <w:vMerge/>
            <w:tcBorders>
              <w:top w:val="double" w:sz="4" w:space="0" w:color="auto"/>
              <w:left w:val="single" w:sz="4" w:space="0" w:color="auto"/>
              <w:bottom w:val="double" w:sz="4" w:space="0" w:color="auto"/>
              <w:right w:val="single" w:sz="4" w:space="0" w:color="auto"/>
            </w:tcBorders>
            <w:vAlign w:val="center"/>
            <w:hideMark/>
          </w:tcPr>
          <w:p w14:paraId="5862A82C" w14:textId="77777777" w:rsidR="00CE5BED" w:rsidRPr="00CE5BED" w:rsidRDefault="00CE5BED" w:rsidP="002B437E">
            <w:pPr>
              <w:rPr>
                <w:sz w:val="24"/>
                <w:szCs w:val="24"/>
              </w:rPr>
            </w:pPr>
          </w:p>
        </w:tc>
        <w:tc>
          <w:tcPr>
            <w:tcW w:w="3958" w:type="dxa"/>
            <w:tcBorders>
              <w:top w:val="single" w:sz="4" w:space="0" w:color="auto"/>
              <w:left w:val="single" w:sz="4" w:space="0" w:color="auto"/>
              <w:bottom w:val="single" w:sz="4" w:space="0" w:color="auto"/>
              <w:right w:val="single" w:sz="4" w:space="0" w:color="auto"/>
            </w:tcBorders>
            <w:hideMark/>
          </w:tcPr>
          <w:p w14:paraId="5BDA8CEE" w14:textId="77777777" w:rsidR="00CE5BED" w:rsidRPr="00CE5BED" w:rsidRDefault="00CE5BED" w:rsidP="002B437E">
            <w:pPr>
              <w:rPr>
                <w:sz w:val="24"/>
                <w:szCs w:val="24"/>
              </w:rPr>
            </w:pPr>
            <w:r w:rsidRPr="00CE5BED">
              <w:rPr>
                <w:sz w:val="24"/>
                <w:szCs w:val="24"/>
              </w:rPr>
              <w:t>Mg++</w:t>
            </w:r>
          </w:p>
        </w:tc>
        <w:tc>
          <w:tcPr>
            <w:tcW w:w="1440" w:type="dxa"/>
            <w:tcBorders>
              <w:top w:val="single" w:sz="4" w:space="0" w:color="auto"/>
              <w:left w:val="single" w:sz="4" w:space="0" w:color="auto"/>
              <w:bottom w:val="single" w:sz="4" w:space="0" w:color="auto"/>
              <w:right w:val="single" w:sz="4" w:space="0" w:color="auto"/>
            </w:tcBorders>
            <w:hideMark/>
          </w:tcPr>
          <w:p w14:paraId="6A5D6458" w14:textId="77777777" w:rsidR="00CE5BED" w:rsidRPr="00CE5BED" w:rsidRDefault="00CE5BED" w:rsidP="002B437E">
            <w:pPr>
              <w:jc w:val="center"/>
              <w:rPr>
                <w:b/>
                <w:sz w:val="24"/>
                <w:szCs w:val="24"/>
              </w:rPr>
            </w:pPr>
            <w:r w:rsidRPr="00CE5BED">
              <w:rPr>
                <w:b/>
                <w:sz w:val="24"/>
                <w:szCs w:val="24"/>
              </w:rPr>
              <w:t>&lt;0.7</w:t>
            </w:r>
          </w:p>
        </w:tc>
        <w:tc>
          <w:tcPr>
            <w:tcW w:w="1440" w:type="dxa"/>
            <w:tcBorders>
              <w:top w:val="single" w:sz="4" w:space="0" w:color="auto"/>
              <w:left w:val="single" w:sz="4" w:space="0" w:color="auto"/>
              <w:bottom w:val="single" w:sz="4" w:space="0" w:color="auto"/>
              <w:right w:val="single" w:sz="4" w:space="0" w:color="auto"/>
            </w:tcBorders>
            <w:hideMark/>
          </w:tcPr>
          <w:p w14:paraId="1BDF74AA" w14:textId="77777777" w:rsidR="00CE5BED" w:rsidRPr="00CE5BED" w:rsidRDefault="00CE5BED" w:rsidP="002B437E">
            <w:pPr>
              <w:jc w:val="center"/>
              <w:rPr>
                <w:b/>
                <w:sz w:val="24"/>
                <w:szCs w:val="24"/>
              </w:rPr>
            </w:pPr>
            <w:r w:rsidRPr="00CE5BED">
              <w:rPr>
                <w:b/>
                <w:sz w:val="24"/>
                <w:szCs w:val="24"/>
              </w:rPr>
              <w:t>&lt;0.5</w:t>
            </w:r>
          </w:p>
        </w:tc>
      </w:tr>
      <w:tr w:rsidR="00CE5BED" w:rsidRPr="00CE5BED" w14:paraId="351F5092" w14:textId="77777777" w:rsidTr="00114D4D">
        <w:trPr>
          <w:trHeight w:val="111"/>
        </w:trPr>
        <w:tc>
          <w:tcPr>
            <w:tcW w:w="1547" w:type="dxa"/>
            <w:vMerge/>
            <w:tcBorders>
              <w:top w:val="double" w:sz="4" w:space="0" w:color="auto"/>
              <w:left w:val="single" w:sz="4" w:space="0" w:color="auto"/>
              <w:bottom w:val="double" w:sz="4" w:space="0" w:color="auto"/>
              <w:right w:val="single" w:sz="4" w:space="0" w:color="auto"/>
            </w:tcBorders>
            <w:vAlign w:val="center"/>
            <w:hideMark/>
          </w:tcPr>
          <w:p w14:paraId="0ACC300F" w14:textId="77777777" w:rsidR="00CE5BED" w:rsidRPr="00CE5BED" w:rsidRDefault="00CE5BED" w:rsidP="002B437E">
            <w:pPr>
              <w:rPr>
                <w:sz w:val="24"/>
                <w:szCs w:val="24"/>
              </w:rPr>
            </w:pPr>
          </w:p>
        </w:tc>
        <w:tc>
          <w:tcPr>
            <w:tcW w:w="3958" w:type="dxa"/>
            <w:tcBorders>
              <w:top w:val="single" w:sz="4" w:space="0" w:color="auto"/>
              <w:left w:val="single" w:sz="4" w:space="0" w:color="auto"/>
              <w:bottom w:val="single" w:sz="4" w:space="0" w:color="auto"/>
              <w:right w:val="single" w:sz="4" w:space="0" w:color="auto"/>
            </w:tcBorders>
            <w:hideMark/>
          </w:tcPr>
          <w:p w14:paraId="565C567C" w14:textId="77777777" w:rsidR="00CE5BED" w:rsidRPr="00CE5BED" w:rsidRDefault="00CE5BED" w:rsidP="002B437E">
            <w:pPr>
              <w:rPr>
                <w:sz w:val="24"/>
                <w:szCs w:val="24"/>
              </w:rPr>
            </w:pPr>
            <w:r w:rsidRPr="00CE5BED">
              <w:rPr>
                <w:sz w:val="24"/>
                <w:szCs w:val="24"/>
              </w:rPr>
              <w:t>PO4--</w:t>
            </w:r>
          </w:p>
        </w:tc>
        <w:tc>
          <w:tcPr>
            <w:tcW w:w="1440" w:type="dxa"/>
            <w:tcBorders>
              <w:top w:val="single" w:sz="4" w:space="0" w:color="auto"/>
              <w:left w:val="single" w:sz="4" w:space="0" w:color="auto"/>
              <w:bottom w:val="single" w:sz="4" w:space="0" w:color="auto"/>
              <w:right w:val="single" w:sz="4" w:space="0" w:color="auto"/>
            </w:tcBorders>
            <w:hideMark/>
          </w:tcPr>
          <w:p w14:paraId="2F6EC53D" w14:textId="77777777" w:rsidR="00CE5BED" w:rsidRPr="00CE5BED" w:rsidRDefault="00CE5BED" w:rsidP="002B437E">
            <w:pPr>
              <w:jc w:val="center"/>
              <w:rPr>
                <w:b/>
                <w:sz w:val="24"/>
                <w:szCs w:val="24"/>
              </w:rPr>
            </w:pPr>
            <w:r w:rsidRPr="00CE5BED">
              <w:rPr>
                <w:b/>
                <w:sz w:val="24"/>
                <w:szCs w:val="24"/>
              </w:rPr>
              <w:t>&lt;0.8</w:t>
            </w:r>
          </w:p>
        </w:tc>
        <w:tc>
          <w:tcPr>
            <w:tcW w:w="1440" w:type="dxa"/>
            <w:tcBorders>
              <w:top w:val="single" w:sz="4" w:space="0" w:color="auto"/>
              <w:left w:val="single" w:sz="4" w:space="0" w:color="auto"/>
              <w:bottom w:val="single" w:sz="4" w:space="0" w:color="auto"/>
              <w:right w:val="single" w:sz="4" w:space="0" w:color="auto"/>
            </w:tcBorders>
            <w:hideMark/>
          </w:tcPr>
          <w:p w14:paraId="4791881B" w14:textId="77777777" w:rsidR="00CE5BED" w:rsidRPr="00CE5BED" w:rsidRDefault="00CE5BED" w:rsidP="002B437E">
            <w:pPr>
              <w:jc w:val="center"/>
              <w:rPr>
                <w:b/>
                <w:sz w:val="24"/>
                <w:szCs w:val="24"/>
              </w:rPr>
            </w:pPr>
            <w:r w:rsidRPr="00CE5BED">
              <w:rPr>
                <w:b/>
                <w:sz w:val="24"/>
                <w:szCs w:val="24"/>
              </w:rPr>
              <w:t>&lt;0.6</w:t>
            </w:r>
          </w:p>
        </w:tc>
      </w:tr>
      <w:tr w:rsidR="00CE5BED" w:rsidRPr="00CE5BED" w14:paraId="7CC4F108" w14:textId="77777777" w:rsidTr="00114D4D">
        <w:trPr>
          <w:trHeight w:val="111"/>
        </w:trPr>
        <w:tc>
          <w:tcPr>
            <w:tcW w:w="1547" w:type="dxa"/>
            <w:vMerge/>
            <w:tcBorders>
              <w:top w:val="double" w:sz="4" w:space="0" w:color="auto"/>
              <w:left w:val="single" w:sz="4" w:space="0" w:color="auto"/>
              <w:bottom w:val="double" w:sz="4" w:space="0" w:color="auto"/>
              <w:right w:val="single" w:sz="4" w:space="0" w:color="auto"/>
            </w:tcBorders>
            <w:vAlign w:val="center"/>
            <w:hideMark/>
          </w:tcPr>
          <w:p w14:paraId="0D62C5F0" w14:textId="77777777" w:rsidR="00CE5BED" w:rsidRPr="00CE5BED" w:rsidRDefault="00CE5BED" w:rsidP="002B437E">
            <w:pPr>
              <w:rPr>
                <w:sz w:val="24"/>
                <w:szCs w:val="24"/>
              </w:rPr>
            </w:pPr>
          </w:p>
        </w:tc>
        <w:tc>
          <w:tcPr>
            <w:tcW w:w="3958" w:type="dxa"/>
            <w:tcBorders>
              <w:top w:val="single" w:sz="4" w:space="0" w:color="auto"/>
              <w:left w:val="single" w:sz="4" w:space="0" w:color="auto"/>
              <w:bottom w:val="double" w:sz="4" w:space="0" w:color="auto"/>
              <w:right w:val="single" w:sz="4" w:space="0" w:color="auto"/>
            </w:tcBorders>
            <w:hideMark/>
          </w:tcPr>
          <w:p w14:paraId="215033F3" w14:textId="77777777" w:rsidR="00CE5BED" w:rsidRPr="00CE5BED" w:rsidRDefault="00CE5BED" w:rsidP="002B437E">
            <w:pPr>
              <w:rPr>
                <w:sz w:val="24"/>
                <w:szCs w:val="24"/>
              </w:rPr>
            </w:pPr>
            <w:r w:rsidRPr="00CE5BED">
              <w:rPr>
                <w:sz w:val="24"/>
                <w:szCs w:val="24"/>
              </w:rPr>
              <w:t>Urea</w:t>
            </w:r>
          </w:p>
        </w:tc>
        <w:tc>
          <w:tcPr>
            <w:tcW w:w="1440" w:type="dxa"/>
            <w:tcBorders>
              <w:top w:val="single" w:sz="4" w:space="0" w:color="auto"/>
              <w:left w:val="single" w:sz="4" w:space="0" w:color="auto"/>
              <w:bottom w:val="double" w:sz="4" w:space="0" w:color="auto"/>
              <w:right w:val="single" w:sz="4" w:space="0" w:color="auto"/>
            </w:tcBorders>
            <w:hideMark/>
          </w:tcPr>
          <w:p w14:paraId="1CE5A7C1" w14:textId="77777777" w:rsidR="00CE5BED" w:rsidRPr="00CE5BED" w:rsidRDefault="00CE5BED" w:rsidP="002B437E">
            <w:pPr>
              <w:jc w:val="center"/>
              <w:rPr>
                <w:b/>
                <w:sz w:val="24"/>
                <w:szCs w:val="24"/>
              </w:rPr>
            </w:pPr>
            <w:r w:rsidRPr="00CE5BED">
              <w:rPr>
                <w:b/>
                <w:sz w:val="24"/>
                <w:szCs w:val="24"/>
              </w:rPr>
              <w:t>&gt;7</w:t>
            </w:r>
          </w:p>
        </w:tc>
        <w:tc>
          <w:tcPr>
            <w:tcW w:w="1440" w:type="dxa"/>
            <w:tcBorders>
              <w:top w:val="single" w:sz="4" w:space="0" w:color="auto"/>
              <w:left w:val="single" w:sz="4" w:space="0" w:color="auto"/>
              <w:bottom w:val="double" w:sz="4" w:space="0" w:color="auto"/>
              <w:right w:val="single" w:sz="4" w:space="0" w:color="auto"/>
            </w:tcBorders>
            <w:hideMark/>
          </w:tcPr>
          <w:p w14:paraId="31614C9D" w14:textId="77777777" w:rsidR="00CE5BED" w:rsidRPr="00CE5BED" w:rsidRDefault="00CE5BED" w:rsidP="002B437E">
            <w:pPr>
              <w:jc w:val="center"/>
              <w:rPr>
                <w:b/>
                <w:sz w:val="24"/>
                <w:szCs w:val="24"/>
              </w:rPr>
            </w:pPr>
            <w:r w:rsidRPr="00CE5BED">
              <w:rPr>
                <w:b/>
                <w:sz w:val="24"/>
                <w:szCs w:val="24"/>
              </w:rPr>
              <w:t>&gt;10</w:t>
            </w:r>
          </w:p>
        </w:tc>
      </w:tr>
      <w:tr w:rsidR="00CE5BED" w:rsidRPr="00CE5BED" w14:paraId="1A91452A" w14:textId="77777777" w:rsidTr="00114D4D">
        <w:trPr>
          <w:trHeight w:val="54"/>
        </w:trPr>
        <w:tc>
          <w:tcPr>
            <w:tcW w:w="1547" w:type="dxa"/>
            <w:vMerge w:val="restart"/>
            <w:tcBorders>
              <w:top w:val="double" w:sz="4" w:space="0" w:color="auto"/>
              <w:left w:val="single" w:sz="4" w:space="0" w:color="auto"/>
              <w:bottom w:val="double" w:sz="4" w:space="0" w:color="auto"/>
              <w:right w:val="single" w:sz="4" w:space="0" w:color="auto"/>
            </w:tcBorders>
            <w:vAlign w:val="center"/>
            <w:hideMark/>
          </w:tcPr>
          <w:p w14:paraId="2A5FC37B" w14:textId="77777777" w:rsidR="00CE5BED" w:rsidRPr="00CE5BED" w:rsidRDefault="00CE5BED" w:rsidP="002B437E">
            <w:pPr>
              <w:rPr>
                <w:sz w:val="24"/>
                <w:szCs w:val="24"/>
              </w:rPr>
            </w:pPr>
            <w:r w:rsidRPr="00CE5BED">
              <w:rPr>
                <w:sz w:val="24"/>
                <w:szCs w:val="24"/>
              </w:rPr>
              <w:t>Liver</w:t>
            </w:r>
          </w:p>
        </w:tc>
        <w:tc>
          <w:tcPr>
            <w:tcW w:w="3958" w:type="dxa"/>
            <w:tcBorders>
              <w:top w:val="double" w:sz="4" w:space="0" w:color="auto"/>
              <w:left w:val="single" w:sz="4" w:space="0" w:color="auto"/>
              <w:bottom w:val="single" w:sz="4" w:space="0" w:color="auto"/>
              <w:right w:val="single" w:sz="4" w:space="0" w:color="auto"/>
            </w:tcBorders>
            <w:hideMark/>
          </w:tcPr>
          <w:p w14:paraId="36DB1E06" w14:textId="77777777" w:rsidR="00CE5BED" w:rsidRPr="00CE5BED" w:rsidRDefault="00CE5BED" w:rsidP="002B437E">
            <w:pPr>
              <w:rPr>
                <w:sz w:val="24"/>
                <w:szCs w:val="24"/>
              </w:rPr>
            </w:pPr>
            <w:r w:rsidRPr="00CE5BED">
              <w:rPr>
                <w:sz w:val="24"/>
                <w:szCs w:val="24"/>
              </w:rPr>
              <w:t>Bilirubin</w:t>
            </w:r>
          </w:p>
        </w:tc>
        <w:tc>
          <w:tcPr>
            <w:tcW w:w="1440" w:type="dxa"/>
            <w:tcBorders>
              <w:top w:val="double" w:sz="4" w:space="0" w:color="auto"/>
              <w:left w:val="single" w:sz="4" w:space="0" w:color="auto"/>
              <w:bottom w:val="single" w:sz="4" w:space="0" w:color="auto"/>
              <w:right w:val="single" w:sz="4" w:space="0" w:color="auto"/>
            </w:tcBorders>
            <w:hideMark/>
          </w:tcPr>
          <w:p w14:paraId="0F1BABF1" w14:textId="77777777" w:rsidR="00CE5BED" w:rsidRPr="00CE5BED" w:rsidRDefault="00CE5BED" w:rsidP="002B437E">
            <w:pPr>
              <w:jc w:val="center"/>
              <w:rPr>
                <w:b/>
                <w:sz w:val="24"/>
                <w:szCs w:val="24"/>
              </w:rPr>
            </w:pPr>
            <w:r w:rsidRPr="00CE5BED">
              <w:rPr>
                <w:b/>
                <w:sz w:val="24"/>
                <w:szCs w:val="24"/>
              </w:rPr>
              <w:t>&gt;20</w:t>
            </w:r>
          </w:p>
        </w:tc>
        <w:tc>
          <w:tcPr>
            <w:tcW w:w="1440" w:type="dxa"/>
            <w:tcBorders>
              <w:top w:val="double" w:sz="4" w:space="0" w:color="auto"/>
              <w:left w:val="single" w:sz="4" w:space="0" w:color="auto"/>
              <w:bottom w:val="single" w:sz="4" w:space="0" w:color="auto"/>
              <w:right w:val="single" w:sz="4" w:space="0" w:color="auto"/>
            </w:tcBorders>
            <w:hideMark/>
          </w:tcPr>
          <w:p w14:paraId="339FF546" w14:textId="77777777" w:rsidR="00CE5BED" w:rsidRPr="00CE5BED" w:rsidRDefault="00CE5BED" w:rsidP="002B437E">
            <w:pPr>
              <w:jc w:val="center"/>
              <w:rPr>
                <w:b/>
                <w:sz w:val="24"/>
                <w:szCs w:val="24"/>
              </w:rPr>
            </w:pPr>
            <w:r w:rsidRPr="00CE5BED">
              <w:rPr>
                <w:b/>
                <w:sz w:val="24"/>
                <w:szCs w:val="24"/>
              </w:rPr>
              <w:t>&gt;40</w:t>
            </w:r>
          </w:p>
        </w:tc>
      </w:tr>
      <w:tr w:rsidR="00CE5BED" w:rsidRPr="00CE5BED" w14:paraId="18C6B3BE" w14:textId="77777777" w:rsidTr="00114D4D">
        <w:trPr>
          <w:trHeight w:val="54"/>
        </w:trPr>
        <w:tc>
          <w:tcPr>
            <w:tcW w:w="1547" w:type="dxa"/>
            <w:vMerge/>
            <w:tcBorders>
              <w:top w:val="double" w:sz="4" w:space="0" w:color="auto"/>
              <w:left w:val="single" w:sz="4" w:space="0" w:color="auto"/>
              <w:bottom w:val="double" w:sz="4" w:space="0" w:color="auto"/>
              <w:right w:val="single" w:sz="4" w:space="0" w:color="auto"/>
            </w:tcBorders>
            <w:vAlign w:val="center"/>
            <w:hideMark/>
          </w:tcPr>
          <w:p w14:paraId="521721B7" w14:textId="77777777" w:rsidR="00CE5BED" w:rsidRPr="00CE5BED" w:rsidRDefault="00CE5BED" w:rsidP="002B437E">
            <w:pPr>
              <w:rPr>
                <w:sz w:val="24"/>
                <w:szCs w:val="24"/>
              </w:rPr>
            </w:pPr>
          </w:p>
        </w:tc>
        <w:tc>
          <w:tcPr>
            <w:tcW w:w="3958" w:type="dxa"/>
            <w:tcBorders>
              <w:top w:val="single" w:sz="4" w:space="0" w:color="auto"/>
              <w:left w:val="single" w:sz="4" w:space="0" w:color="auto"/>
              <w:bottom w:val="single" w:sz="4" w:space="0" w:color="auto"/>
              <w:right w:val="single" w:sz="4" w:space="0" w:color="auto"/>
            </w:tcBorders>
            <w:hideMark/>
          </w:tcPr>
          <w:p w14:paraId="5C7551EE" w14:textId="77777777" w:rsidR="00CE5BED" w:rsidRPr="00CE5BED" w:rsidRDefault="00CE5BED" w:rsidP="002B437E">
            <w:pPr>
              <w:rPr>
                <w:sz w:val="24"/>
                <w:szCs w:val="24"/>
              </w:rPr>
            </w:pPr>
            <w:r w:rsidRPr="00CE5BED">
              <w:rPr>
                <w:sz w:val="24"/>
                <w:szCs w:val="24"/>
              </w:rPr>
              <w:t>Alkaline phosphatase</w:t>
            </w:r>
          </w:p>
        </w:tc>
        <w:tc>
          <w:tcPr>
            <w:tcW w:w="1440" w:type="dxa"/>
            <w:tcBorders>
              <w:top w:val="single" w:sz="4" w:space="0" w:color="auto"/>
              <w:left w:val="single" w:sz="4" w:space="0" w:color="auto"/>
              <w:bottom w:val="single" w:sz="4" w:space="0" w:color="auto"/>
              <w:right w:val="single" w:sz="4" w:space="0" w:color="auto"/>
            </w:tcBorders>
            <w:hideMark/>
          </w:tcPr>
          <w:p w14:paraId="1BD4F93F" w14:textId="77777777" w:rsidR="00CE5BED" w:rsidRPr="00CE5BED" w:rsidRDefault="00CE5BED" w:rsidP="002B437E">
            <w:pPr>
              <w:jc w:val="center"/>
              <w:rPr>
                <w:b/>
                <w:sz w:val="24"/>
                <w:szCs w:val="24"/>
              </w:rPr>
            </w:pPr>
            <w:r w:rsidRPr="00CE5BED">
              <w:rPr>
                <w:b/>
                <w:sz w:val="24"/>
                <w:szCs w:val="24"/>
              </w:rPr>
              <w:t>&gt;110</w:t>
            </w:r>
          </w:p>
        </w:tc>
        <w:tc>
          <w:tcPr>
            <w:tcW w:w="1440" w:type="dxa"/>
            <w:tcBorders>
              <w:top w:val="single" w:sz="4" w:space="0" w:color="auto"/>
              <w:left w:val="single" w:sz="4" w:space="0" w:color="auto"/>
              <w:bottom w:val="single" w:sz="4" w:space="0" w:color="auto"/>
              <w:right w:val="single" w:sz="4" w:space="0" w:color="auto"/>
            </w:tcBorders>
            <w:hideMark/>
          </w:tcPr>
          <w:p w14:paraId="546A9AEF" w14:textId="77777777" w:rsidR="00CE5BED" w:rsidRPr="00CE5BED" w:rsidRDefault="00CE5BED" w:rsidP="002B437E">
            <w:pPr>
              <w:jc w:val="center"/>
              <w:rPr>
                <w:b/>
                <w:sz w:val="24"/>
                <w:szCs w:val="24"/>
              </w:rPr>
            </w:pPr>
            <w:r w:rsidRPr="00CE5BED">
              <w:rPr>
                <w:b/>
                <w:sz w:val="24"/>
                <w:szCs w:val="24"/>
              </w:rPr>
              <w:t>&gt;200</w:t>
            </w:r>
          </w:p>
        </w:tc>
      </w:tr>
      <w:tr w:rsidR="00CE5BED" w:rsidRPr="00CE5BED" w14:paraId="68DC5592" w14:textId="77777777" w:rsidTr="00114D4D">
        <w:trPr>
          <w:trHeight w:val="54"/>
        </w:trPr>
        <w:tc>
          <w:tcPr>
            <w:tcW w:w="1547" w:type="dxa"/>
            <w:vMerge/>
            <w:tcBorders>
              <w:top w:val="double" w:sz="4" w:space="0" w:color="auto"/>
              <w:left w:val="single" w:sz="4" w:space="0" w:color="auto"/>
              <w:bottom w:val="double" w:sz="4" w:space="0" w:color="auto"/>
              <w:right w:val="single" w:sz="4" w:space="0" w:color="auto"/>
            </w:tcBorders>
            <w:vAlign w:val="center"/>
            <w:hideMark/>
          </w:tcPr>
          <w:p w14:paraId="19EA4F9A" w14:textId="77777777" w:rsidR="00CE5BED" w:rsidRPr="00CE5BED" w:rsidRDefault="00CE5BED" w:rsidP="002B437E">
            <w:pPr>
              <w:rPr>
                <w:sz w:val="24"/>
                <w:szCs w:val="24"/>
              </w:rPr>
            </w:pPr>
          </w:p>
        </w:tc>
        <w:tc>
          <w:tcPr>
            <w:tcW w:w="3958" w:type="dxa"/>
            <w:tcBorders>
              <w:top w:val="single" w:sz="4" w:space="0" w:color="auto"/>
              <w:left w:val="single" w:sz="4" w:space="0" w:color="auto"/>
              <w:bottom w:val="single" w:sz="4" w:space="0" w:color="auto"/>
              <w:right w:val="single" w:sz="4" w:space="0" w:color="auto"/>
            </w:tcBorders>
            <w:hideMark/>
          </w:tcPr>
          <w:p w14:paraId="4CFC76AD" w14:textId="77777777" w:rsidR="00CE5BED" w:rsidRPr="00CE5BED" w:rsidRDefault="00CE5BED" w:rsidP="002B437E">
            <w:pPr>
              <w:rPr>
                <w:sz w:val="24"/>
                <w:szCs w:val="24"/>
              </w:rPr>
            </w:pPr>
            <w:r w:rsidRPr="00CE5BED">
              <w:rPr>
                <w:sz w:val="24"/>
                <w:szCs w:val="24"/>
              </w:rPr>
              <w:t>Aspartate transaminase (AST)</w:t>
            </w:r>
          </w:p>
        </w:tc>
        <w:tc>
          <w:tcPr>
            <w:tcW w:w="1440" w:type="dxa"/>
            <w:tcBorders>
              <w:top w:val="single" w:sz="4" w:space="0" w:color="auto"/>
              <w:left w:val="single" w:sz="4" w:space="0" w:color="auto"/>
              <w:bottom w:val="single" w:sz="4" w:space="0" w:color="auto"/>
              <w:right w:val="single" w:sz="4" w:space="0" w:color="auto"/>
            </w:tcBorders>
            <w:hideMark/>
          </w:tcPr>
          <w:p w14:paraId="0C619960" w14:textId="77777777" w:rsidR="00CE5BED" w:rsidRPr="00CE5BED" w:rsidRDefault="00CE5BED" w:rsidP="002B437E">
            <w:pPr>
              <w:jc w:val="center"/>
              <w:rPr>
                <w:b/>
                <w:sz w:val="24"/>
                <w:szCs w:val="24"/>
              </w:rPr>
            </w:pPr>
            <w:r w:rsidRPr="00CE5BED">
              <w:rPr>
                <w:b/>
                <w:sz w:val="24"/>
                <w:szCs w:val="24"/>
              </w:rPr>
              <w:t>&gt;40</w:t>
            </w:r>
          </w:p>
        </w:tc>
        <w:tc>
          <w:tcPr>
            <w:tcW w:w="1440" w:type="dxa"/>
            <w:tcBorders>
              <w:top w:val="single" w:sz="4" w:space="0" w:color="auto"/>
              <w:left w:val="single" w:sz="4" w:space="0" w:color="auto"/>
              <w:bottom w:val="single" w:sz="4" w:space="0" w:color="auto"/>
              <w:right w:val="single" w:sz="4" w:space="0" w:color="auto"/>
            </w:tcBorders>
            <w:hideMark/>
          </w:tcPr>
          <w:p w14:paraId="1745B924" w14:textId="77777777" w:rsidR="00CE5BED" w:rsidRPr="00CE5BED" w:rsidRDefault="00CE5BED" w:rsidP="002B437E">
            <w:pPr>
              <w:jc w:val="center"/>
              <w:rPr>
                <w:b/>
                <w:sz w:val="24"/>
                <w:szCs w:val="24"/>
              </w:rPr>
            </w:pPr>
            <w:r w:rsidRPr="00CE5BED">
              <w:rPr>
                <w:b/>
                <w:sz w:val="24"/>
                <w:szCs w:val="24"/>
              </w:rPr>
              <w:t>&gt;80</w:t>
            </w:r>
          </w:p>
        </w:tc>
      </w:tr>
      <w:tr w:rsidR="00CE5BED" w:rsidRPr="00CE5BED" w14:paraId="4186009B" w14:textId="77777777" w:rsidTr="00114D4D">
        <w:trPr>
          <w:trHeight w:val="54"/>
        </w:trPr>
        <w:tc>
          <w:tcPr>
            <w:tcW w:w="1547" w:type="dxa"/>
            <w:vMerge/>
            <w:tcBorders>
              <w:top w:val="double" w:sz="4" w:space="0" w:color="auto"/>
              <w:left w:val="single" w:sz="4" w:space="0" w:color="auto"/>
              <w:bottom w:val="double" w:sz="4" w:space="0" w:color="auto"/>
              <w:right w:val="single" w:sz="4" w:space="0" w:color="auto"/>
            </w:tcBorders>
            <w:vAlign w:val="center"/>
            <w:hideMark/>
          </w:tcPr>
          <w:p w14:paraId="67CBA46B" w14:textId="77777777" w:rsidR="00CE5BED" w:rsidRPr="00CE5BED" w:rsidRDefault="00CE5BED" w:rsidP="002B437E">
            <w:pPr>
              <w:rPr>
                <w:sz w:val="24"/>
                <w:szCs w:val="24"/>
              </w:rPr>
            </w:pPr>
          </w:p>
        </w:tc>
        <w:tc>
          <w:tcPr>
            <w:tcW w:w="3958" w:type="dxa"/>
            <w:tcBorders>
              <w:top w:val="single" w:sz="4" w:space="0" w:color="auto"/>
              <w:left w:val="single" w:sz="4" w:space="0" w:color="auto"/>
              <w:bottom w:val="single" w:sz="4" w:space="0" w:color="auto"/>
              <w:right w:val="single" w:sz="4" w:space="0" w:color="auto"/>
            </w:tcBorders>
            <w:hideMark/>
          </w:tcPr>
          <w:p w14:paraId="0A6F89AC" w14:textId="77777777" w:rsidR="00CE5BED" w:rsidRPr="00CE5BED" w:rsidRDefault="00CE5BED" w:rsidP="002B437E">
            <w:pPr>
              <w:rPr>
                <w:sz w:val="24"/>
                <w:szCs w:val="24"/>
              </w:rPr>
            </w:pPr>
            <w:r w:rsidRPr="00CE5BED">
              <w:rPr>
                <w:sz w:val="24"/>
                <w:szCs w:val="24"/>
              </w:rPr>
              <w:t>Alanine transaminase (ALT)</w:t>
            </w:r>
          </w:p>
        </w:tc>
        <w:tc>
          <w:tcPr>
            <w:tcW w:w="1440" w:type="dxa"/>
            <w:tcBorders>
              <w:top w:val="single" w:sz="4" w:space="0" w:color="auto"/>
              <w:left w:val="single" w:sz="4" w:space="0" w:color="auto"/>
              <w:bottom w:val="single" w:sz="4" w:space="0" w:color="auto"/>
              <w:right w:val="single" w:sz="4" w:space="0" w:color="auto"/>
            </w:tcBorders>
            <w:hideMark/>
          </w:tcPr>
          <w:p w14:paraId="74013511" w14:textId="77777777" w:rsidR="00CE5BED" w:rsidRPr="00CE5BED" w:rsidRDefault="00CE5BED" w:rsidP="002B437E">
            <w:pPr>
              <w:jc w:val="center"/>
              <w:rPr>
                <w:b/>
                <w:sz w:val="24"/>
                <w:szCs w:val="24"/>
              </w:rPr>
            </w:pPr>
            <w:r w:rsidRPr="00CE5BED">
              <w:rPr>
                <w:b/>
                <w:sz w:val="24"/>
                <w:szCs w:val="24"/>
              </w:rPr>
              <w:t>&gt;45</w:t>
            </w:r>
          </w:p>
        </w:tc>
        <w:tc>
          <w:tcPr>
            <w:tcW w:w="1440" w:type="dxa"/>
            <w:tcBorders>
              <w:top w:val="single" w:sz="4" w:space="0" w:color="auto"/>
              <w:left w:val="single" w:sz="4" w:space="0" w:color="auto"/>
              <w:bottom w:val="single" w:sz="4" w:space="0" w:color="auto"/>
              <w:right w:val="single" w:sz="4" w:space="0" w:color="auto"/>
            </w:tcBorders>
            <w:hideMark/>
          </w:tcPr>
          <w:p w14:paraId="6D5DC61C" w14:textId="77777777" w:rsidR="00CE5BED" w:rsidRPr="00CE5BED" w:rsidRDefault="00CE5BED" w:rsidP="002B437E">
            <w:pPr>
              <w:jc w:val="center"/>
              <w:rPr>
                <w:b/>
                <w:sz w:val="24"/>
                <w:szCs w:val="24"/>
              </w:rPr>
            </w:pPr>
            <w:r w:rsidRPr="00CE5BED">
              <w:rPr>
                <w:b/>
                <w:sz w:val="24"/>
                <w:szCs w:val="24"/>
              </w:rPr>
              <w:t>&gt;90</w:t>
            </w:r>
          </w:p>
        </w:tc>
      </w:tr>
      <w:tr w:rsidR="00CE5BED" w:rsidRPr="00CE5BED" w14:paraId="04D074EC" w14:textId="77777777" w:rsidTr="00114D4D">
        <w:trPr>
          <w:trHeight w:val="54"/>
        </w:trPr>
        <w:tc>
          <w:tcPr>
            <w:tcW w:w="1547" w:type="dxa"/>
            <w:vMerge/>
            <w:tcBorders>
              <w:top w:val="double" w:sz="4" w:space="0" w:color="auto"/>
              <w:left w:val="single" w:sz="4" w:space="0" w:color="auto"/>
              <w:bottom w:val="double" w:sz="4" w:space="0" w:color="auto"/>
              <w:right w:val="single" w:sz="4" w:space="0" w:color="auto"/>
            </w:tcBorders>
            <w:vAlign w:val="center"/>
            <w:hideMark/>
          </w:tcPr>
          <w:p w14:paraId="4CD20B75" w14:textId="77777777" w:rsidR="00CE5BED" w:rsidRPr="00CE5BED" w:rsidRDefault="00CE5BED" w:rsidP="002B437E">
            <w:pPr>
              <w:rPr>
                <w:sz w:val="24"/>
                <w:szCs w:val="24"/>
              </w:rPr>
            </w:pPr>
          </w:p>
        </w:tc>
        <w:tc>
          <w:tcPr>
            <w:tcW w:w="3958" w:type="dxa"/>
            <w:tcBorders>
              <w:top w:val="single" w:sz="4" w:space="0" w:color="auto"/>
              <w:left w:val="single" w:sz="4" w:space="0" w:color="auto"/>
              <w:bottom w:val="double" w:sz="4" w:space="0" w:color="auto"/>
              <w:right w:val="single" w:sz="4" w:space="0" w:color="auto"/>
            </w:tcBorders>
            <w:hideMark/>
          </w:tcPr>
          <w:p w14:paraId="310E567B" w14:textId="77777777" w:rsidR="00CE5BED" w:rsidRPr="00CE5BED" w:rsidRDefault="00CE5BED" w:rsidP="002B437E">
            <w:pPr>
              <w:rPr>
                <w:sz w:val="24"/>
                <w:szCs w:val="24"/>
              </w:rPr>
            </w:pPr>
            <w:r w:rsidRPr="00CE5BED">
              <w:rPr>
                <w:sz w:val="24"/>
                <w:szCs w:val="24"/>
              </w:rPr>
              <w:t>GGT</w:t>
            </w:r>
          </w:p>
        </w:tc>
        <w:tc>
          <w:tcPr>
            <w:tcW w:w="1440" w:type="dxa"/>
            <w:tcBorders>
              <w:top w:val="single" w:sz="4" w:space="0" w:color="auto"/>
              <w:left w:val="single" w:sz="4" w:space="0" w:color="auto"/>
              <w:bottom w:val="double" w:sz="4" w:space="0" w:color="auto"/>
              <w:right w:val="single" w:sz="4" w:space="0" w:color="auto"/>
            </w:tcBorders>
            <w:hideMark/>
          </w:tcPr>
          <w:p w14:paraId="0E187165" w14:textId="77777777" w:rsidR="00CE5BED" w:rsidRPr="00CE5BED" w:rsidRDefault="00CE5BED" w:rsidP="002B437E">
            <w:pPr>
              <w:jc w:val="center"/>
              <w:rPr>
                <w:b/>
                <w:sz w:val="24"/>
                <w:szCs w:val="24"/>
              </w:rPr>
            </w:pPr>
            <w:r w:rsidRPr="00CE5BED">
              <w:rPr>
                <w:b/>
                <w:sz w:val="24"/>
                <w:szCs w:val="24"/>
              </w:rPr>
              <w:t>&gt;45</w:t>
            </w:r>
          </w:p>
        </w:tc>
        <w:tc>
          <w:tcPr>
            <w:tcW w:w="1440" w:type="dxa"/>
            <w:tcBorders>
              <w:top w:val="single" w:sz="4" w:space="0" w:color="auto"/>
              <w:left w:val="single" w:sz="4" w:space="0" w:color="auto"/>
              <w:bottom w:val="double" w:sz="4" w:space="0" w:color="auto"/>
              <w:right w:val="single" w:sz="4" w:space="0" w:color="auto"/>
            </w:tcBorders>
            <w:hideMark/>
          </w:tcPr>
          <w:p w14:paraId="5AC2F8D2" w14:textId="77777777" w:rsidR="00CE5BED" w:rsidRPr="00CE5BED" w:rsidRDefault="00CE5BED" w:rsidP="002B437E">
            <w:pPr>
              <w:jc w:val="center"/>
              <w:rPr>
                <w:b/>
                <w:sz w:val="24"/>
                <w:szCs w:val="24"/>
              </w:rPr>
            </w:pPr>
            <w:r w:rsidRPr="00CE5BED">
              <w:rPr>
                <w:b/>
                <w:sz w:val="24"/>
                <w:szCs w:val="24"/>
              </w:rPr>
              <w:t>&gt;90</w:t>
            </w:r>
          </w:p>
        </w:tc>
      </w:tr>
      <w:tr w:rsidR="00CE5BED" w:rsidRPr="00CE5BED" w14:paraId="1D321416" w14:textId="77777777" w:rsidTr="00114D4D">
        <w:trPr>
          <w:trHeight w:val="230"/>
        </w:trPr>
        <w:tc>
          <w:tcPr>
            <w:tcW w:w="1547" w:type="dxa"/>
            <w:vMerge w:val="restart"/>
            <w:tcBorders>
              <w:top w:val="double" w:sz="4" w:space="0" w:color="auto"/>
              <w:left w:val="single" w:sz="4" w:space="0" w:color="auto"/>
              <w:bottom w:val="double" w:sz="4" w:space="0" w:color="auto"/>
              <w:right w:val="single" w:sz="4" w:space="0" w:color="auto"/>
            </w:tcBorders>
            <w:vAlign w:val="center"/>
            <w:hideMark/>
          </w:tcPr>
          <w:p w14:paraId="4C223309" w14:textId="77777777" w:rsidR="00CE5BED" w:rsidRPr="00CE5BED" w:rsidRDefault="00CE5BED" w:rsidP="002B437E">
            <w:pPr>
              <w:rPr>
                <w:sz w:val="24"/>
                <w:szCs w:val="24"/>
              </w:rPr>
            </w:pPr>
            <w:r w:rsidRPr="00CE5BED">
              <w:rPr>
                <w:sz w:val="24"/>
                <w:szCs w:val="24"/>
              </w:rPr>
              <w:t>Nutrition</w:t>
            </w:r>
          </w:p>
        </w:tc>
        <w:tc>
          <w:tcPr>
            <w:tcW w:w="3958" w:type="dxa"/>
            <w:tcBorders>
              <w:top w:val="double" w:sz="4" w:space="0" w:color="auto"/>
              <w:left w:val="single" w:sz="4" w:space="0" w:color="auto"/>
              <w:bottom w:val="single" w:sz="4" w:space="0" w:color="auto"/>
              <w:right w:val="single" w:sz="4" w:space="0" w:color="auto"/>
            </w:tcBorders>
            <w:hideMark/>
          </w:tcPr>
          <w:p w14:paraId="570CCE0A" w14:textId="77777777" w:rsidR="00CE5BED" w:rsidRPr="00CE5BED" w:rsidRDefault="00CE5BED" w:rsidP="002B437E">
            <w:pPr>
              <w:rPr>
                <w:sz w:val="24"/>
                <w:szCs w:val="24"/>
              </w:rPr>
            </w:pPr>
            <w:r w:rsidRPr="00CE5BED">
              <w:rPr>
                <w:sz w:val="24"/>
                <w:szCs w:val="24"/>
              </w:rPr>
              <w:t>Albumin</w:t>
            </w:r>
          </w:p>
        </w:tc>
        <w:tc>
          <w:tcPr>
            <w:tcW w:w="1440" w:type="dxa"/>
            <w:tcBorders>
              <w:top w:val="double" w:sz="4" w:space="0" w:color="auto"/>
              <w:left w:val="single" w:sz="4" w:space="0" w:color="auto"/>
              <w:bottom w:val="single" w:sz="4" w:space="0" w:color="auto"/>
              <w:right w:val="single" w:sz="4" w:space="0" w:color="auto"/>
            </w:tcBorders>
            <w:hideMark/>
          </w:tcPr>
          <w:p w14:paraId="21493372" w14:textId="77777777" w:rsidR="00CE5BED" w:rsidRPr="00CE5BED" w:rsidRDefault="00CE5BED" w:rsidP="002B437E">
            <w:pPr>
              <w:jc w:val="center"/>
              <w:rPr>
                <w:b/>
                <w:sz w:val="24"/>
                <w:szCs w:val="24"/>
              </w:rPr>
            </w:pPr>
            <w:r w:rsidRPr="00CE5BED">
              <w:rPr>
                <w:b/>
                <w:sz w:val="24"/>
                <w:szCs w:val="24"/>
              </w:rPr>
              <w:t>&lt;35</w:t>
            </w:r>
          </w:p>
        </w:tc>
        <w:tc>
          <w:tcPr>
            <w:tcW w:w="1440" w:type="dxa"/>
            <w:tcBorders>
              <w:top w:val="double" w:sz="4" w:space="0" w:color="auto"/>
              <w:left w:val="single" w:sz="4" w:space="0" w:color="auto"/>
              <w:bottom w:val="single" w:sz="4" w:space="0" w:color="auto"/>
              <w:right w:val="single" w:sz="4" w:space="0" w:color="auto"/>
            </w:tcBorders>
            <w:hideMark/>
          </w:tcPr>
          <w:p w14:paraId="10475FC7" w14:textId="77777777" w:rsidR="00CE5BED" w:rsidRPr="00CE5BED" w:rsidRDefault="00CE5BED" w:rsidP="002B437E">
            <w:pPr>
              <w:jc w:val="center"/>
              <w:rPr>
                <w:b/>
                <w:sz w:val="24"/>
                <w:szCs w:val="24"/>
              </w:rPr>
            </w:pPr>
            <w:r w:rsidRPr="00CE5BED">
              <w:rPr>
                <w:b/>
                <w:sz w:val="24"/>
                <w:szCs w:val="24"/>
              </w:rPr>
              <w:t>&lt;32</w:t>
            </w:r>
          </w:p>
        </w:tc>
      </w:tr>
      <w:tr w:rsidR="00CE5BED" w:rsidRPr="00CE5BED" w14:paraId="52563641" w14:textId="77777777" w:rsidTr="00114D4D">
        <w:trPr>
          <w:trHeight w:val="230"/>
        </w:trPr>
        <w:tc>
          <w:tcPr>
            <w:tcW w:w="1547" w:type="dxa"/>
            <w:vMerge/>
            <w:tcBorders>
              <w:top w:val="double" w:sz="4" w:space="0" w:color="auto"/>
              <w:left w:val="single" w:sz="4" w:space="0" w:color="auto"/>
              <w:bottom w:val="double" w:sz="4" w:space="0" w:color="auto"/>
              <w:right w:val="single" w:sz="4" w:space="0" w:color="auto"/>
            </w:tcBorders>
            <w:vAlign w:val="center"/>
            <w:hideMark/>
          </w:tcPr>
          <w:p w14:paraId="25394BB6" w14:textId="77777777" w:rsidR="00CE5BED" w:rsidRPr="00CE5BED" w:rsidRDefault="00CE5BED" w:rsidP="002B437E">
            <w:pPr>
              <w:rPr>
                <w:sz w:val="24"/>
                <w:szCs w:val="24"/>
              </w:rPr>
            </w:pPr>
          </w:p>
        </w:tc>
        <w:tc>
          <w:tcPr>
            <w:tcW w:w="3958" w:type="dxa"/>
            <w:tcBorders>
              <w:top w:val="single" w:sz="4" w:space="0" w:color="auto"/>
              <w:left w:val="single" w:sz="4" w:space="0" w:color="auto"/>
              <w:bottom w:val="single" w:sz="4" w:space="0" w:color="auto"/>
              <w:right w:val="single" w:sz="4" w:space="0" w:color="auto"/>
            </w:tcBorders>
            <w:hideMark/>
          </w:tcPr>
          <w:p w14:paraId="221A560B" w14:textId="77777777" w:rsidR="00CE5BED" w:rsidRPr="00CE5BED" w:rsidRDefault="00CE5BED" w:rsidP="002B437E">
            <w:pPr>
              <w:rPr>
                <w:sz w:val="24"/>
                <w:szCs w:val="24"/>
              </w:rPr>
            </w:pPr>
            <w:r w:rsidRPr="00CE5BED">
              <w:rPr>
                <w:sz w:val="24"/>
                <w:szCs w:val="24"/>
              </w:rPr>
              <w:t>Creatine Kinase</w:t>
            </w:r>
          </w:p>
        </w:tc>
        <w:tc>
          <w:tcPr>
            <w:tcW w:w="1440" w:type="dxa"/>
            <w:tcBorders>
              <w:top w:val="single" w:sz="4" w:space="0" w:color="auto"/>
              <w:left w:val="single" w:sz="4" w:space="0" w:color="auto"/>
              <w:bottom w:val="single" w:sz="4" w:space="0" w:color="auto"/>
              <w:right w:val="single" w:sz="4" w:space="0" w:color="auto"/>
            </w:tcBorders>
            <w:hideMark/>
          </w:tcPr>
          <w:p w14:paraId="67639E10" w14:textId="77777777" w:rsidR="00CE5BED" w:rsidRPr="00CE5BED" w:rsidRDefault="00CE5BED" w:rsidP="002B437E">
            <w:pPr>
              <w:jc w:val="center"/>
              <w:rPr>
                <w:b/>
                <w:sz w:val="24"/>
                <w:szCs w:val="24"/>
              </w:rPr>
            </w:pPr>
            <w:r w:rsidRPr="00CE5BED">
              <w:rPr>
                <w:b/>
                <w:sz w:val="24"/>
                <w:szCs w:val="24"/>
              </w:rPr>
              <w:t>&gt;170</w:t>
            </w:r>
          </w:p>
        </w:tc>
        <w:tc>
          <w:tcPr>
            <w:tcW w:w="1440" w:type="dxa"/>
            <w:tcBorders>
              <w:top w:val="single" w:sz="4" w:space="0" w:color="auto"/>
              <w:left w:val="single" w:sz="4" w:space="0" w:color="auto"/>
              <w:bottom w:val="single" w:sz="4" w:space="0" w:color="auto"/>
              <w:right w:val="single" w:sz="4" w:space="0" w:color="auto"/>
            </w:tcBorders>
            <w:hideMark/>
          </w:tcPr>
          <w:p w14:paraId="73B3C33F" w14:textId="77777777" w:rsidR="00CE5BED" w:rsidRPr="00CE5BED" w:rsidRDefault="00CE5BED" w:rsidP="002B437E">
            <w:pPr>
              <w:jc w:val="center"/>
              <w:rPr>
                <w:b/>
                <w:sz w:val="24"/>
                <w:szCs w:val="24"/>
              </w:rPr>
            </w:pPr>
            <w:r w:rsidRPr="00CE5BED">
              <w:rPr>
                <w:b/>
                <w:sz w:val="24"/>
                <w:szCs w:val="24"/>
              </w:rPr>
              <w:t>&gt;250</w:t>
            </w:r>
          </w:p>
        </w:tc>
      </w:tr>
      <w:tr w:rsidR="00CE5BED" w:rsidRPr="00CE5BED" w14:paraId="025E39F0" w14:textId="77777777" w:rsidTr="00114D4D">
        <w:trPr>
          <w:trHeight w:val="230"/>
        </w:trPr>
        <w:tc>
          <w:tcPr>
            <w:tcW w:w="1547" w:type="dxa"/>
            <w:vMerge/>
            <w:tcBorders>
              <w:top w:val="double" w:sz="4" w:space="0" w:color="auto"/>
              <w:left w:val="single" w:sz="4" w:space="0" w:color="auto"/>
              <w:bottom w:val="double" w:sz="4" w:space="0" w:color="auto"/>
              <w:right w:val="single" w:sz="4" w:space="0" w:color="auto"/>
            </w:tcBorders>
            <w:vAlign w:val="center"/>
            <w:hideMark/>
          </w:tcPr>
          <w:p w14:paraId="506C4AE2" w14:textId="77777777" w:rsidR="00CE5BED" w:rsidRPr="00CE5BED" w:rsidRDefault="00CE5BED" w:rsidP="002B437E">
            <w:pPr>
              <w:rPr>
                <w:sz w:val="24"/>
                <w:szCs w:val="24"/>
              </w:rPr>
            </w:pPr>
          </w:p>
        </w:tc>
        <w:tc>
          <w:tcPr>
            <w:tcW w:w="3958" w:type="dxa"/>
            <w:tcBorders>
              <w:top w:val="single" w:sz="4" w:space="0" w:color="auto"/>
              <w:left w:val="single" w:sz="4" w:space="0" w:color="auto"/>
              <w:bottom w:val="double" w:sz="4" w:space="0" w:color="auto"/>
              <w:right w:val="single" w:sz="4" w:space="0" w:color="auto"/>
            </w:tcBorders>
            <w:hideMark/>
          </w:tcPr>
          <w:p w14:paraId="65818FD3" w14:textId="77777777" w:rsidR="00CE5BED" w:rsidRPr="00CE5BED" w:rsidRDefault="00CE5BED" w:rsidP="002B437E">
            <w:pPr>
              <w:rPr>
                <w:sz w:val="24"/>
                <w:szCs w:val="24"/>
              </w:rPr>
            </w:pPr>
            <w:r w:rsidRPr="00CE5BED">
              <w:rPr>
                <w:sz w:val="24"/>
                <w:szCs w:val="24"/>
              </w:rPr>
              <w:t>Glucose</w:t>
            </w:r>
          </w:p>
        </w:tc>
        <w:tc>
          <w:tcPr>
            <w:tcW w:w="1440" w:type="dxa"/>
            <w:tcBorders>
              <w:top w:val="single" w:sz="4" w:space="0" w:color="auto"/>
              <w:left w:val="single" w:sz="4" w:space="0" w:color="auto"/>
              <w:bottom w:val="double" w:sz="4" w:space="0" w:color="auto"/>
              <w:right w:val="single" w:sz="4" w:space="0" w:color="auto"/>
            </w:tcBorders>
            <w:hideMark/>
          </w:tcPr>
          <w:p w14:paraId="367775AF" w14:textId="77777777" w:rsidR="00CE5BED" w:rsidRPr="00CE5BED" w:rsidRDefault="00CE5BED" w:rsidP="002B437E">
            <w:pPr>
              <w:jc w:val="center"/>
              <w:rPr>
                <w:b/>
                <w:sz w:val="24"/>
                <w:szCs w:val="24"/>
              </w:rPr>
            </w:pPr>
            <w:r w:rsidRPr="00CE5BED">
              <w:rPr>
                <w:b/>
                <w:sz w:val="24"/>
                <w:szCs w:val="24"/>
              </w:rPr>
              <w:t>&lt;3.5</w:t>
            </w:r>
          </w:p>
        </w:tc>
        <w:tc>
          <w:tcPr>
            <w:tcW w:w="1440" w:type="dxa"/>
            <w:tcBorders>
              <w:top w:val="single" w:sz="4" w:space="0" w:color="auto"/>
              <w:left w:val="single" w:sz="4" w:space="0" w:color="auto"/>
              <w:bottom w:val="double" w:sz="4" w:space="0" w:color="auto"/>
              <w:right w:val="single" w:sz="4" w:space="0" w:color="auto"/>
            </w:tcBorders>
            <w:hideMark/>
          </w:tcPr>
          <w:p w14:paraId="1FEA80DC" w14:textId="77777777" w:rsidR="00CE5BED" w:rsidRPr="00CE5BED" w:rsidRDefault="00CE5BED" w:rsidP="002B437E">
            <w:pPr>
              <w:jc w:val="center"/>
              <w:rPr>
                <w:b/>
                <w:sz w:val="24"/>
                <w:szCs w:val="24"/>
              </w:rPr>
            </w:pPr>
            <w:r w:rsidRPr="00CE5BED">
              <w:rPr>
                <w:b/>
                <w:sz w:val="24"/>
                <w:szCs w:val="24"/>
              </w:rPr>
              <w:t>&lt;2.5</w:t>
            </w:r>
          </w:p>
        </w:tc>
      </w:tr>
      <w:tr w:rsidR="00CE5BED" w:rsidRPr="00CE5BED" w14:paraId="37ACBAB8" w14:textId="77777777" w:rsidTr="00114D4D">
        <w:trPr>
          <w:trHeight w:val="90"/>
        </w:trPr>
        <w:tc>
          <w:tcPr>
            <w:tcW w:w="1547" w:type="dxa"/>
            <w:vMerge w:val="restart"/>
            <w:tcBorders>
              <w:top w:val="double" w:sz="4" w:space="0" w:color="auto"/>
              <w:left w:val="single" w:sz="4" w:space="0" w:color="auto"/>
              <w:bottom w:val="single" w:sz="4" w:space="0" w:color="auto"/>
              <w:right w:val="single" w:sz="4" w:space="0" w:color="auto"/>
            </w:tcBorders>
            <w:vAlign w:val="center"/>
            <w:hideMark/>
          </w:tcPr>
          <w:p w14:paraId="73E160A2" w14:textId="77777777" w:rsidR="00CE5BED" w:rsidRPr="00CE5BED" w:rsidRDefault="00CE5BED" w:rsidP="002B437E">
            <w:pPr>
              <w:rPr>
                <w:sz w:val="24"/>
                <w:szCs w:val="24"/>
              </w:rPr>
            </w:pPr>
            <w:r w:rsidRPr="00CE5BED">
              <w:rPr>
                <w:sz w:val="24"/>
                <w:szCs w:val="24"/>
              </w:rPr>
              <w:t>ECG</w:t>
            </w:r>
          </w:p>
        </w:tc>
        <w:tc>
          <w:tcPr>
            <w:tcW w:w="3958" w:type="dxa"/>
            <w:tcBorders>
              <w:top w:val="double" w:sz="4" w:space="0" w:color="auto"/>
              <w:left w:val="single" w:sz="4" w:space="0" w:color="auto"/>
              <w:bottom w:val="single" w:sz="4" w:space="0" w:color="auto"/>
              <w:right w:val="single" w:sz="4" w:space="0" w:color="auto"/>
            </w:tcBorders>
            <w:hideMark/>
          </w:tcPr>
          <w:p w14:paraId="28452CC1" w14:textId="77777777" w:rsidR="00CE5BED" w:rsidRPr="00CE5BED" w:rsidRDefault="00CE5BED" w:rsidP="002B437E">
            <w:pPr>
              <w:rPr>
                <w:sz w:val="24"/>
                <w:szCs w:val="24"/>
              </w:rPr>
            </w:pPr>
            <w:r w:rsidRPr="00CE5BED">
              <w:rPr>
                <w:sz w:val="24"/>
                <w:szCs w:val="24"/>
              </w:rPr>
              <w:t>Pulse rate</w:t>
            </w:r>
          </w:p>
        </w:tc>
        <w:tc>
          <w:tcPr>
            <w:tcW w:w="1440" w:type="dxa"/>
            <w:tcBorders>
              <w:top w:val="double" w:sz="4" w:space="0" w:color="auto"/>
              <w:left w:val="single" w:sz="4" w:space="0" w:color="auto"/>
              <w:bottom w:val="single" w:sz="4" w:space="0" w:color="auto"/>
              <w:right w:val="single" w:sz="4" w:space="0" w:color="auto"/>
            </w:tcBorders>
            <w:hideMark/>
          </w:tcPr>
          <w:p w14:paraId="00D2A2F0" w14:textId="77777777" w:rsidR="00CE5BED" w:rsidRPr="00CE5BED" w:rsidRDefault="00CE5BED" w:rsidP="002B437E">
            <w:pPr>
              <w:jc w:val="center"/>
              <w:rPr>
                <w:b/>
                <w:sz w:val="24"/>
                <w:szCs w:val="24"/>
              </w:rPr>
            </w:pPr>
            <w:r w:rsidRPr="00CE5BED">
              <w:rPr>
                <w:b/>
                <w:sz w:val="24"/>
                <w:szCs w:val="24"/>
              </w:rPr>
              <w:t>&lt;50</w:t>
            </w:r>
          </w:p>
        </w:tc>
        <w:tc>
          <w:tcPr>
            <w:tcW w:w="1440" w:type="dxa"/>
            <w:tcBorders>
              <w:top w:val="double" w:sz="4" w:space="0" w:color="auto"/>
              <w:left w:val="single" w:sz="4" w:space="0" w:color="auto"/>
              <w:bottom w:val="single" w:sz="4" w:space="0" w:color="auto"/>
              <w:right w:val="single" w:sz="4" w:space="0" w:color="auto"/>
            </w:tcBorders>
            <w:hideMark/>
          </w:tcPr>
          <w:p w14:paraId="2BC174DB" w14:textId="77777777" w:rsidR="00CE5BED" w:rsidRPr="00CE5BED" w:rsidRDefault="00CE5BED" w:rsidP="002B437E">
            <w:pPr>
              <w:jc w:val="center"/>
              <w:rPr>
                <w:b/>
                <w:sz w:val="24"/>
                <w:szCs w:val="24"/>
              </w:rPr>
            </w:pPr>
            <w:r w:rsidRPr="00CE5BED">
              <w:rPr>
                <w:b/>
                <w:sz w:val="24"/>
                <w:szCs w:val="24"/>
              </w:rPr>
              <w:t>&lt;40</w:t>
            </w:r>
          </w:p>
        </w:tc>
      </w:tr>
      <w:tr w:rsidR="00CE5BED" w:rsidRPr="00CE5BED" w14:paraId="5788972A" w14:textId="77777777" w:rsidTr="00114D4D">
        <w:trPr>
          <w:trHeight w:val="90"/>
        </w:trPr>
        <w:tc>
          <w:tcPr>
            <w:tcW w:w="1547" w:type="dxa"/>
            <w:vMerge/>
            <w:tcBorders>
              <w:top w:val="double" w:sz="4" w:space="0" w:color="auto"/>
              <w:left w:val="single" w:sz="4" w:space="0" w:color="auto"/>
              <w:bottom w:val="single" w:sz="4" w:space="0" w:color="auto"/>
              <w:right w:val="single" w:sz="4" w:space="0" w:color="auto"/>
            </w:tcBorders>
            <w:vAlign w:val="center"/>
            <w:hideMark/>
          </w:tcPr>
          <w:p w14:paraId="7883FCEB" w14:textId="77777777" w:rsidR="00CE5BED" w:rsidRPr="00CE5BED" w:rsidRDefault="00CE5BED" w:rsidP="002B437E">
            <w:pPr>
              <w:rPr>
                <w:sz w:val="24"/>
                <w:szCs w:val="24"/>
              </w:rPr>
            </w:pPr>
          </w:p>
        </w:tc>
        <w:tc>
          <w:tcPr>
            <w:tcW w:w="3958" w:type="dxa"/>
            <w:tcBorders>
              <w:top w:val="single" w:sz="4" w:space="0" w:color="auto"/>
              <w:left w:val="single" w:sz="4" w:space="0" w:color="auto"/>
              <w:bottom w:val="single" w:sz="4" w:space="0" w:color="auto"/>
              <w:right w:val="single" w:sz="4" w:space="0" w:color="auto"/>
            </w:tcBorders>
            <w:hideMark/>
          </w:tcPr>
          <w:p w14:paraId="7A8AC43F" w14:textId="77777777" w:rsidR="00CE5BED" w:rsidRPr="00CE5BED" w:rsidRDefault="00CE5BED" w:rsidP="002B437E">
            <w:pPr>
              <w:rPr>
                <w:sz w:val="24"/>
                <w:szCs w:val="24"/>
              </w:rPr>
            </w:pPr>
            <w:r w:rsidRPr="00CE5BED">
              <w:rPr>
                <w:sz w:val="24"/>
                <w:szCs w:val="24"/>
              </w:rPr>
              <w:t>Corrected QT intervals (QTC) msec</w:t>
            </w:r>
          </w:p>
        </w:tc>
        <w:tc>
          <w:tcPr>
            <w:tcW w:w="1440" w:type="dxa"/>
            <w:tcBorders>
              <w:top w:val="single" w:sz="4" w:space="0" w:color="auto"/>
              <w:left w:val="single" w:sz="4" w:space="0" w:color="auto"/>
              <w:bottom w:val="single" w:sz="4" w:space="0" w:color="auto"/>
              <w:right w:val="single" w:sz="4" w:space="0" w:color="auto"/>
            </w:tcBorders>
          </w:tcPr>
          <w:p w14:paraId="38978EE9" w14:textId="77777777" w:rsidR="00CE5BED" w:rsidRPr="00CE5BED" w:rsidRDefault="00CE5BED" w:rsidP="002B437E">
            <w:pPr>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29525B62" w14:textId="77777777" w:rsidR="00CE5BED" w:rsidRPr="00CE5BED" w:rsidRDefault="00CE5BED" w:rsidP="002B437E">
            <w:pPr>
              <w:jc w:val="center"/>
              <w:rPr>
                <w:b/>
                <w:sz w:val="24"/>
                <w:szCs w:val="24"/>
              </w:rPr>
            </w:pPr>
            <w:r w:rsidRPr="00CE5BED">
              <w:rPr>
                <w:b/>
                <w:sz w:val="24"/>
                <w:szCs w:val="24"/>
              </w:rPr>
              <w:t xml:space="preserve">&gt;450 </w:t>
            </w:r>
          </w:p>
        </w:tc>
      </w:tr>
      <w:tr w:rsidR="00CE5BED" w:rsidRPr="00CE5BED" w14:paraId="35C7A05C" w14:textId="77777777" w:rsidTr="00114D4D">
        <w:trPr>
          <w:trHeight w:val="90"/>
        </w:trPr>
        <w:tc>
          <w:tcPr>
            <w:tcW w:w="1547" w:type="dxa"/>
            <w:vMerge/>
            <w:tcBorders>
              <w:top w:val="double" w:sz="4" w:space="0" w:color="auto"/>
              <w:left w:val="single" w:sz="4" w:space="0" w:color="auto"/>
              <w:bottom w:val="single" w:sz="4" w:space="0" w:color="auto"/>
              <w:right w:val="single" w:sz="4" w:space="0" w:color="auto"/>
            </w:tcBorders>
            <w:vAlign w:val="center"/>
            <w:hideMark/>
          </w:tcPr>
          <w:p w14:paraId="2E1C1AEC" w14:textId="77777777" w:rsidR="00CE5BED" w:rsidRPr="00CE5BED" w:rsidRDefault="00CE5BED" w:rsidP="002B437E">
            <w:pPr>
              <w:rPr>
                <w:sz w:val="24"/>
                <w:szCs w:val="24"/>
              </w:rPr>
            </w:pPr>
          </w:p>
        </w:tc>
        <w:tc>
          <w:tcPr>
            <w:tcW w:w="3958" w:type="dxa"/>
            <w:tcBorders>
              <w:top w:val="single" w:sz="4" w:space="0" w:color="auto"/>
              <w:left w:val="single" w:sz="4" w:space="0" w:color="auto"/>
              <w:bottom w:val="single" w:sz="4" w:space="0" w:color="auto"/>
              <w:right w:val="single" w:sz="4" w:space="0" w:color="auto"/>
            </w:tcBorders>
            <w:hideMark/>
          </w:tcPr>
          <w:p w14:paraId="0741A276" w14:textId="77777777" w:rsidR="00CE5BED" w:rsidRPr="00CE5BED" w:rsidRDefault="00CE5BED" w:rsidP="002B437E">
            <w:pPr>
              <w:rPr>
                <w:sz w:val="24"/>
                <w:szCs w:val="24"/>
              </w:rPr>
            </w:pPr>
            <w:r w:rsidRPr="00CE5BED">
              <w:rPr>
                <w:sz w:val="24"/>
                <w:szCs w:val="24"/>
              </w:rPr>
              <w:t>Arrhythmias</w:t>
            </w:r>
          </w:p>
        </w:tc>
        <w:tc>
          <w:tcPr>
            <w:tcW w:w="1440" w:type="dxa"/>
            <w:tcBorders>
              <w:top w:val="single" w:sz="4" w:space="0" w:color="auto"/>
              <w:left w:val="single" w:sz="4" w:space="0" w:color="auto"/>
              <w:bottom w:val="single" w:sz="4" w:space="0" w:color="auto"/>
              <w:right w:val="single" w:sz="4" w:space="0" w:color="auto"/>
            </w:tcBorders>
          </w:tcPr>
          <w:p w14:paraId="7C022A5B" w14:textId="77777777" w:rsidR="00CE5BED" w:rsidRPr="00CE5BED" w:rsidRDefault="00CE5BED" w:rsidP="002B437E">
            <w:pPr>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7A1FECAD" w14:textId="77777777" w:rsidR="00CE5BED" w:rsidRPr="00CE5BED" w:rsidRDefault="00CE5BED" w:rsidP="002B437E">
            <w:pPr>
              <w:jc w:val="center"/>
              <w:rPr>
                <w:b/>
                <w:sz w:val="24"/>
                <w:szCs w:val="24"/>
              </w:rPr>
            </w:pPr>
            <w:r w:rsidRPr="00CE5BED">
              <w:rPr>
                <w:b/>
                <w:sz w:val="24"/>
                <w:szCs w:val="24"/>
              </w:rPr>
              <w:t>+</w:t>
            </w:r>
          </w:p>
        </w:tc>
      </w:tr>
    </w:tbl>
    <w:p w14:paraId="465FB879" w14:textId="77777777" w:rsidR="00CE5BED" w:rsidRPr="00CE5BED" w:rsidRDefault="00CE5BED" w:rsidP="00CE5BED">
      <w:pPr>
        <w:ind w:left="-720"/>
        <w:rPr>
          <w:sz w:val="24"/>
          <w:szCs w:val="24"/>
        </w:rPr>
      </w:pPr>
    </w:p>
    <w:p w14:paraId="6134C5A2" w14:textId="77777777" w:rsidR="00CE5BED" w:rsidRPr="00CE5BED" w:rsidRDefault="00CE5BED" w:rsidP="00CE5BED">
      <w:pPr>
        <w:rPr>
          <w:sz w:val="24"/>
          <w:szCs w:val="24"/>
        </w:rPr>
      </w:pPr>
    </w:p>
    <w:p w14:paraId="408EC339" w14:textId="77777777" w:rsidR="00CE5BED" w:rsidRPr="00CE5BED" w:rsidRDefault="00CE5BED" w:rsidP="00CE5BED">
      <w:pPr>
        <w:rPr>
          <w:i/>
          <w:sz w:val="24"/>
          <w:szCs w:val="24"/>
        </w:rPr>
      </w:pPr>
    </w:p>
    <w:p w14:paraId="3FE446B6" w14:textId="77777777" w:rsidR="00CE5BED" w:rsidRPr="00CE5BED" w:rsidRDefault="00CE5BED" w:rsidP="00CE5BED">
      <w:pPr>
        <w:jc w:val="both"/>
        <w:rPr>
          <w:i/>
          <w:sz w:val="24"/>
          <w:szCs w:val="24"/>
        </w:rPr>
      </w:pPr>
    </w:p>
    <w:p w14:paraId="33798843" w14:textId="77777777" w:rsidR="00CE5BED" w:rsidRPr="00CE5BED" w:rsidRDefault="00CE5BED" w:rsidP="00CE5BED">
      <w:pPr>
        <w:jc w:val="both"/>
        <w:rPr>
          <w:i/>
          <w:sz w:val="24"/>
          <w:szCs w:val="24"/>
        </w:rPr>
      </w:pPr>
      <w:r w:rsidRPr="00CE5BED">
        <w:rPr>
          <w:i/>
          <w:sz w:val="24"/>
          <w:szCs w:val="24"/>
        </w:rPr>
        <w:lastRenderedPageBreak/>
        <w:t>Unless otherwise agreed, the GP is responsible for the medical monitoring of outpatients and community patients; Cotswold House Marlborough will monitor inpatients and day patients.</w:t>
      </w:r>
    </w:p>
    <w:p w14:paraId="586D4B81" w14:textId="77777777" w:rsidR="00CE5BED" w:rsidRPr="00CE5BED" w:rsidRDefault="00CE5BED" w:rsidP="00CE5BED">
      <w:pPr>
        <w:jc w:val="both"/>
        <w:rPr>
          <w:i/>
          <w:sz w:val="24"/>
          <w:szCs w:val="24"/>
        </w:rPr>
      </w:pPr>
      <w:r w:rsidRPr="00CE5BED">
        <w:rPr>
          <w:i/>
          <w:sz w:val="24"/>
          <w:szCs w:val="24"/>
        </w:rPr>
        <w:t xml:space="preserve">Our general recommendation is for patients to have blood tests fortnightly; weekly tests may be necessary if results are deteriorating or there is significant vomiting or laxative abuse, less </w:t>
      </w:r>
    </w:p>
    <w:p w14:paraId="73F6738B" w14:textId="77777777" w:rsidR="00CE5BED" w:rsidRPr="00CE5BED" w:rsidRDefault="00CE5BED" w:rsidP="00CE5BED">
      <w:pPr>
        <w:jc w:val="both"/>
        <w:rPr>
          <w:i/>
          <w:sz w:val="24"/>
          <w:szCs w:val="24"/>
        </w:rPr>
      </w:pPr>
      <w:r w:rsidRPr="00CE5BED">
        <w:rPr>
          <w:i/>
          <w:sz w:val="24"/>
          <w:szCs w:val="24"/>
        </w:rPr>
        <w:t>frequent tests may be adequate if the patient is stable or improving.</w:t>
      </w:r>
    </w:p>
    <w:p w14:paraId="50BB99F9" w14:textId="77777777" w:rsidR="00CE5BED" w:rsidRPr="00CE5BED" w:rsidRDefault="00CE5BED" w:rsidP="00CE5BED">
      <w:pPr>
        <w:jc w:val="both"/>
        <w:rPr>
          <w:i/>
          <w:sz w:val="24"/>
          <w:szCs w:val="24"/>
        </w:rPr>
      </w:pPr>
    </w:p>
    <w:p w14:paraId="480ED6AC" w14:textId="77777777" w:rsidR="00F62CE7" w:rsidRDefault="00CE5BED" w:rsidP="00F62CE7">
      <w:pPr>
        <w:rPr>
          <w:i/>
          <w:sz w:val="24"/>
          <w:szCs w:val="24"/>
        </w:rPr>
      </w:pPr>
      <w:r w:rsidRPr="00CE5BED">
        <w:rPr>
          <w:i/>
          <w:sz w:val="24"/>
          <w:szCs w:val="24"/>
        </w:rPr>
        <w:t>If results fall into the Concern or Alert ranges, please contact 01865 904099 for advice.</w:t>
      </w:r>
    </w:p>
    <w:p w14:paraId="7C4E6FEE" w14:textId="77777777" w:rsidR="00CE5BED" w:rsidRPr="00CE5BED" w:rsidRDefault="00CE5BED" w:rsidP="00F62CE7">
      <w:pPr>
        <w:rPr>
          <w:i/>
          <w:sz w:val="24"/>
          <w:szCs w:val="24"/>
        </w:rPr>
      </w:pPr>
    </w:p>
    <w:p w14:paraId="6828E96E" w14:textId="77777777" w:rsidR="00F62CE7" w:rsidRPr="00CE5BED" w:rsidRDefault="00CE5BED" w:rsidP="00F62CE7">
      <w:pPr>
        <w:rPr>
          <w:b/>
          <w:bCs/>
          <w:sz w:val="24"/>
          <w:szCs w:val="24"/>
          <w:u w:val="single"/>
          <w:lang w:eastAsia="en-GB"/>
        </w:rPr>
      </w:pPr>
      <w:r w:rsidRPr="00CE5BED">
        <w:rPr>
          <w:b/>
          <w:bCs/>
          <w:sz w:val="24"/>
          <w:szCs w:val="24"/>
          <w:u w:val="single"/>
          <w:lang w:eastAsia="en-GB"/>
        </w:rPr>
        <w:t xml:space="preserve">Patient </w:t>
      </w:r>
      <w:r w:rsidR="00F62CE7" w:rsidRPr="00CE5BED">
        <w:rPr>
          <w:b/>
          <w:bCs/>
          <w:sz w:val="24"/>
          <w:szCs w:val="24"/>
          <w:u w:val="single"/>
          <w:lang w:eastAsia="en-GB"/>
        </w:rPr>
        <w:t>Resources</w:t>
      </w:r>
      <w:r>
        <w:rPr>
          <w:b/>
          <w:bCs/>
          <w:sz w:val="24"/>
          <w:szCs w:val="24"/>
          <w:u w:val="single"/>
          <w:lang w:eastAsia="en-GB"/>
        </w:rPr>
        <w:t>:</w:t>
      </w:r>
    </w:p>
    <w:p w14:paraId="0490176D" w14:textId="77777777" w:rsidR="00F62CE7" w:rsidRPr="00CE5BED" w:rsidRDefault="00F62CE7" w:rsidP="00F62CE7">
      <w:pPr>
        <w:rPr>
          <w:sz w:val="24"/>
          <w:szCs w:val="24"/>
          <w:lang w:eastAsia="en-GB"/>
        </w:rPr>
      </w:pPr>
      <w:r w:rsidRPr="00CE5BED">
        <w:rPr>
          <w:sz w:val="24"/>
          <w:szCs w:val="24"/>
          <w:lang w:eastAsia="en-GB"/>
        </w:rPr>
        <w:t xml:space="preserve"> </w:t>
      </w:r>
    </w:p>
    <w:p w14:paraId="26DF6ABE" w14:textId="77777777" w:rsidR="00F62CE7" w:rsidRPr="00CE5BED" w:rsidRDefault="00F62CE7" w:rsidP="00F62CE7">
      <w:pPr>
        <w:rPr>
          <w:rFonts w:eastAsia="Times New Roman"/>
          <w:sz w:val="24"/>
          <w:szCs w:val="24"/>
          <w:lang w:eastAsia="en-GB"/>
        </w:rPr>
      </w:pPr>
      <w:r w:rsidRPr="00CE5BED">
        <w:rPr>
          <w:rFonts w:eastAsia="Times New Roman"/>
          <w:b/>
          <w:bCs/>
          <w:sz w:val="24"/>
          <w:szCs w:val="24"/>
          <w:lang w:eastAsia="en-GB"/>
        </w:rPr>
        <w:t>Cotswold House Marlborough</w:t>
      </w:r>
      <w:r w:rsidRPr="00CE5BED">
        <w:rPr>
          <w:rFonts w:eastAsia="Times New Roman"/>
          <w:sz w:val="24"/>
          <w:szCs w:val="24"/>
          <w:lang w:eastAsia="en-GB"/>
        </w:rPr>
        <w:t xml:space="preserve"> has a website which has lots of helpful information for people who have an eating disorder and their family and friends. Our website can be found at: </w:t>
      </w:r>
      <w:hyperlink r:id="rId8" w:history="1">
        <w:r w:rsidRPr="00CE5BED">
          <w:rPr>
            <w:rStyle w:val="Hyperlink"/>
            <w:rFonts w:eastAsia="Times New Roman"/>
            <w:sz w:val="24"/>
            <w:szCs w:val="24"/>
            <w:lang w:eastAsia="en-GB"/>
          </w:rPr>
          <w:t>https://www.oxfordhealth.nhs.uk/cotswoldhouse/</w:t>
        </w:r>
      </w:hyperlink>
    </w:p>
    <w:p w14:paraId="640ED310" w14:textId="77777777" w:rsidR="00F62CE7" w:rsidRPr="00CE5BED" w:rsidRDefault="00F62CE7" w:rsidP="00F62CE7">
      <w:pPr>
        <w:rPr>
          <w:rFonts w:eastAsia="Times New Roman"/>
          <w:sz w:val="24"/>
          <w:szCs w:val="24"/>
          <w:lang w:eastAsia="en-GB"/>
        </w:rPr>
      </w:pPr>
    </w:p>
    <w:p w14:paraId="27C3F710" w14:textId="77777777" w:rsidR="00F62CE7" w:rsidRPr="00CE5BED" w:rsidRDefault="00F62CE7" w:rsidP="00F62CE7">
      <w:pPr>
        <w:rPr>
          <w:rFonts w:eastAsia="Times New Roman"/>
          <w:sz w:val="24"/>
          <w:szCs w:val="24"/>
          <w:lang w:eastAsia="en-GB"/>
        </w:rPr>
      </w:pPr>
      <w:r w:rsidRPr="00CE5BED">
        <w:rPr>
          <w:rFonts w:eastAsia="Times New Roman"/>
          <w:b/>
          <w:bCs/>
          <w:sz w:val="24"/>
          <w:szCs w:val="24"/>
          <w:lang w:eastAsia="en-GB"/>
        </w:rPr>
        <w:t xml:space="preserve">Beat </w:t>
      </w:r>
      <w:r w:rsidRPr="00CE5BED">
        <w:rPr>
          <w:rFonts w:eastAsia="Times New Roman"/>
          <w:sz w:val="24"/>
          <w:szCs w:val="24"/>
          <w:lang w:eastAsia="en-GB"/>
        </w:rPr>
        <w:t xml:space="preserve">is the UK’s leading charity supporting anyone affected by eating disorders, anorexia, bulimia, EDNOS or any other difficulties with food, weight and shape. Their website has lots of useful information for anyone affected by an eating disorder and their families and friends. Their website is: </w:t>
      </w:r>
      <w:hyperlink r:id="rId9" w:history="1">
        <w:r w:rsidRPr="00CE5BED">
          <w:rPr>
            <w:rStyle w:val="Hyperlink"/>
            <w:rFonts w:eastAsia="Times New Roman"/>
            <w:sz w:val="24"/>
            <w:szCs w:val="24"/>
            <w:lang w:eastAsia="en-GB"/>
          </w:rPr>
          <w:t>https://www.beateatingdisorders.org.uk/</w:t>
        </w:r>
      </w:hyperlink>
    </w:p>
    <w:p w14:paraId="23E9EA05" w14:textId="77777777" w:rsidR="00F62CE7" w:rsidRPr="00CE5BED" w:rsidRDefault="00F62CE7" w:rsidP="00F62CE7">
      <w:pPr>
        <w:rPr>
          <w:rFonts w:eastAsia="Times New Roman"/>
          <w:sz w:val="24"/>
          <w:szCs w:val="24"/>
          <w:lang w:eastAsia="en-GB"/>
        </w:rPr>
      </w:pPr>
    </w:p>
    <w:p w14:paraId="5FC3870C" w14:textId="77777777" w:rsidR="00F62CE7" w:rsidRPr="00CE5BED" w:rsidRDefault="00E04E7B" w:rsidP="00F62CE7">
      <w:pPr>
        <w:rPr>
          <w:rFonts w:eastAsia="Times New Roman"/>
          <w:sz w:val="24"/>
          <w:szCs w:val="24"/>
          <w:lang w:eastAsia="en-GB"/>
        </w:rPr>
      </w:pPr>
      <w:hyperlink r:id="rId10" w:history="1">
        <w:r w:rsidR="00F62CE7" w:rsidRPr="00CE5BED">
          <w:rPr>
            <w:rStyle w:val="Hyperlink"/>
            <w:sz w:val="24"/>
            <w:szCs w:val="24"/>
          </w:rPr>
          <w:t>Eating Disorders Self-Help Resources - Information Sheets &amp; Workbooks (health.wa.gov.au)</w:t>
        </w:r>
      </w:hyperlink>
    </w:p>
    <w:p w14:paraId="6B20D144" w14:textId="77777777" w:rsidR="00F62CE7" w:rsidRPr="00CE5BED" w:rsidRDefault="00F62CE7" w:rsidP="00F62CE7">
      <w:pPr>
        <w:keepNext/>
        <w:rPr>
          <w:rFonts w:eastAsia="Times New Roman"/>
          <w:sz w:val="24"/>
          <w:szCs w:val="24"/>
          <w:lang w:eastAsia="en-GB"/>
        </w:rPr>
      </w:pPr>
    </w:p>
    <w:p w14:paraId="65090BD9" w14:textId="77777777" w:rsidR="00F62CE7" w:rsidRPr="00CE5BED" w:rsidRDefault="00F62CE7" w:rsidP="00F62CE7">
      <w:pPr>
        <w:keepNext/>
        <w:rPr>
          <w:rFonts w:eastAsia="Times New Roman"/>
          <w:sz w:val="24"/>
          <w:szCs w:val="24"/>
          <w:lang w:eastAsia="en-GB"/>
        </w:rPr>
      </w:pPr>
    </w:p>
    <w:p w14:paraId="27185E46" w14:textId="77777777" w:rsidR="00F62CE7" w:rsidRPr="00CE5BED" w:rsidRDefault="00F62CE7" w:rsidP="00F62CE7">
      <w:pPr>
        <w:keepNext/>
        <w:rPr>
          <w:rFonts w:eastAsia="Times New Roman"/>
          <w:b/>
          <w:sz w:val="24"/>
          <w:szCs w:val="24"/>
          <w:u w:val="single"/>
          <w:lang w:eastAsia="en-GB"/>
        </w:rPr>
      </w:pPr>
      <w:r w:rsidRPr="00CE5BED">
        <w:rPr>
          <w:rFonts w:eastAsia="Times New Roman"/>
          <w:b/>
          <w:sz w:val="24"/>
          <w:szCs w:val="24"/>
          <w:u w:val="single"/>
          <w:lang w:eastAsia="en-GB"/>
        </w:rPr>
        <w:t>Friends and Family</w:t>
      </w:r>
    </w:p>
    <w:p w14:paraId="6CE5601F" w14:textId="77777777" w:rsidR="00F62CE7" w:rsidRPr="00CE5BED" w:rsidRDefault="00F62CE7" w:rsidP="00F62CE7">
      <w:pPr>
        <w:keepNext/>
        <w:rPr>
          <w:rFonts w:eastAsia="Times New Roman"/>
          <w:sz w:val="24"/>
          <w:szCs w:val="24"/>
          <w:lang w:eastAsia="en-GB"/>
        </w:rPr>
      </w:pPr>
      <w:r w:rsidRPr="00CE5BED">
        <w:rPr>
          <w:rFonts w:eastAsia="Times New Roman"/>
          <w:sz w:val="24"/>
          <w:szCs w:val="24"/>
          <w:lang w:eastAsia="en-GB"/>
        </w:rPr>
        <w:t>If any of your friends or family members require support we have a Friends &amp; Family Group which runs once a month at our Service.  Please contact us for more information.</w:t>
      </w:r>
    </w:p>
    <w:p w14:paraId="36A5640C" w14:textId="77777777" w:rsidR="00F62CE7" w:rsidRPr="00CE5BED" w:rsidRDefault="00F62CE7" w:rsidP="00F62CE7">
      <w:pPr>
        <w:keepNext/>
        <w:rPr>
          <w:rFonts w:eastAsia="Times New Roman"/>
          <w:sz w:val="24"/>
          <w:szCs w:val="24"/>
          <w:lang w:eastAsia="en-GB"/>
        </w:rPr>
      </w:pPr>
    </w:p>
    <w:p w14:paraId="01FBF1A9" w14:textId="77777777" w:rsidR="00F62CE7" w:rsidRPr="00CE5BED" w:rsidRDefault="00F62CE7" w:rsidP="00F62CE7">
      <w:pPr>
        <w:spacing w:line="276" w:lineRule="auto"/>
        <w:rPr>
          <w:rFonts w:eastAsia="MS Minngs"/>
          <w:sz w:val="24"/>
          <w:szCs w:val="24"/>
          <w:lang w:val="en-US"/>
        </w:rPr>
      </w:pPr>
      <w:r w:rsidRPr="00CE5BED">
        <w:rPr>
          <w:rFonts w:eastAsia="MS Minngs"/>
          <w:sz w:val="24"/>
          <w:szCs w:val="24"/>
          <w:lang w:val="en-US"/>
        </w:rPr>
        <w:t>These resources aim to give more information about eating disorders</w:t>
      </w:r>
    </w:p>
    <w:p w14:paraId="397296F1" w14:textId="77777777" w:rsidR="00F62CE7" w:rsidRPr="00CE5BED" w:rsidRDefault="00F62CE7" w:rsidP="00F62CE7">
      <w:pPr>
        <w:spacing w:line="276" w:lineRule="auto"/>
        <w:rPr>
          <w:rFonts w:eastAsia="MS Minngs"/>
          <w:sz w:val="24"/>
          <w:szCs w:val="24"/>
          <w:lang w:val="en-US"/>
        </w:rPr>
      </w:pPr>
    </w:p>
    <w:p w14:paraId="7C157E61" w14:textId="77777777" w:rsidR="00F62CE7" w:rsidRPr="00CE5BED" w:rsidRDefault="00F62CE7" w:rsidP="00F62CE7">
      <w:pPr>
        <w:spacing w:line="276" w:lineRule="auto"/>
        <w:rPr>
          <w:rFonts w:eastAsia="MS Minngs"/>
          <w:b/>
          <w:sz w:val="24"/>
          <w:szCs w:val="24"/>
          <w:lang w:val="en-US"/>
        </w:rPr>
      </w:pPr>
      <w:r w:rsidRPr="00CE5BED">
        <w:rPr>
          <w:rFonts w:eastAsia="MS Minngs"/>
          <w:b/>
          <w:sz w:val="24"/>
          <w:szCs w:val="24"/>
          <w:lang w:val="en-US"/>
        </w:rPr>
        <w:t>For families specifically:</w:t>
      </w:r>
    </w:p>
    <w:p w14:paraId="5F9E567B" w14:textId="77777777" w:rsidR="00F62CE7" w:rsidRPr="00CE5BED" w:rsidRDefault="00F62CE7" w:rsidP="00F62CE7">
      <w:pPr>
        <w:spacing w:line="276" w:lineRule="auto"/>
        <w:rPr>
          <w:rFonts w:eastAsia="MS Minngs"/>
          <w:sz w:val="24"/>
          <w:szCs w:val="24"/>
          <w:lang w:val="en-US"/>
        </w:rPr>
      </w:pPr>
      <w:r w:rsidRPr="00CE5BED">
        <w:rPr>
          <w:rFonts w:eastAsia="MS Minngs"/>
          <w:sz w:val="24"/>
          <w:szCs w:val="24"/>
          <w:lang w:val="en-US"/>
        </w:rPr>
        <w:t xml:space="preserve">Skills-Based Learning for Caring for a Loved One with an Eating Disorder: The New Maudsley Method. J. Treasure (2007). </w:t>
      </w:r>
    </w:p>
    <w:p w14:paraId="5868A7A4" w14:textId="77777777" w:rsidR="00F62CE7" w:rsidRPr="00CE5BED" w:rsidRDefault="00F62CE7" w:rsidP="00F62CE7">
      <w:pPr>
        <w:spacing w:line="276" w:lineRule="auto"/>
        <w:rPr>
          <w:rFonts w:eastAsia="MS Minngs"/>
          <w:sz w:val="24"/>
          <w:szCs w:val="24"/>
          <w:lang w:val="en-US"/>
        </w:rPr>
      </w:pPr>
    </w:p>
    <w:p w14:paraId="41F41B31" w14:textId="77777777" w:rsidR="00F62CE7" w:rsidRPr="00CE5BED" w:rsidRDefault="00F62CE7" w:rsidP="00F62CE7">
      <w:pPr>
        <w:spacing w:line="276" w:lineRule="auto"/>
        <w:rPr>
          <w:rFonts w:eastAsia="MS Minngs"/>
          <w:b/>
          <w:sz w:val="24"/>
          <w:szCs w:val="24"/>
          <w:lang w:val="en-US"/>
        </w:rPr>
      </w:pPr>
      <w:r w:rsidRPr="00CE5BED">
        <w:rPr>
          <w:rFonts w:eastAsia="MS Minngs"/>
          <w:b/>
          <w:sz w:val="24"/>
          <w:szCs w:val="24"/>
          <w:lang w:val="en-US"/>
        </w:rPr>
        <w:t>Anorexia Nervosa</w:t>
      </w:r>
    </w:p>
    <w:p w14:paraId="4CC3EDC2" w14:textId="77777777" w:rsidR="00F62CE7" w:rsidRPr="00CE5BED" w:rsidRDefault="00F62CE7" w:rsidP="00F62CE7">
      <w:pPr>
        <w:numPr>
          <w:ilvl w:val="0"/>
          <w:numId w:val="2"/>
        </w:numPr>
        <w:spacing w:line="276" w:lineRule="auto"/>
        <w:rPr>
          <w:rFonts w:eastAsia="MS Minngs"/>
          <w:sz w:val="24"/>
          <w:szCs w:val="24"/>
          <w:lang w:val="en-US"/>
        </w:rPr>
      </w:pPr>
      <w:r w:rsidRPr="00CE5BED">
        <w:rPr>
          <w:rFonts w:eastAsia="MS Minngs"/>
          <w:sz w:val="24"/>
          <w:szCs w:val="24"/>
          <w:lang w:val="en-US"/>
        </w:rPr>
        <w:t xml:space="preserve">Treasure J and Alexander J (2013). Anorexia nervosa. A Recovery Guide for Sufferers, Families and Friends. 2nd edition. Routledge, London and New York. </w:t>
      </w:r>
    </w:p>
    <w:p w14:paraId="138505D8" w14:textId="77777777" w:rsidR="00F62CE7" w:rsidRPr="00CE5BED" w:rsidRDefault="00F62CE7" w:rsidP="00F62CE7">
      <w:pPr>
        <w:numPr>
          <w:ilvl w:val="0"/>
          <w:numId w:val="2"/>
        </w:numPr>
        <w:spacing w:line="276" w:lineRule="auto"/>
        <w:rPr>
          <w:rFonts w:eastAsia="MS Minngs"/>
          <w:sz w:val="24"/>
          <w:szCs w:val="24"/>
          <w:lang w:val="en-US"/>
        </w:rPr>
      </w:pPr>
      <w:r w:rsidRPr="00CE5BED">
        <w:rPr>
          <w:rFonts w:eastAsia="MS Minngs"/>
          <w:sz w:val="24"/>
          <w:szCs w:val="24"/>
          <w:lang w:val="en-US"/>
        </w:rPr>
        <w:t>- ‘Rehabilitate Rewire Recover’ (Tabitha Farrar)</w:t>
      </w:r>
    </w:p>
    <w:p w14:paraId="713DE531" w14:textId="77777777" w:rsidR="00F62CE7" w:rsidRPr="00CE5BED" w:rsidRDefault="00F62CE7" w:rsidP="00F62CE7">
      <w:pPr>
        <w:numPr>
          <w:ilvl w:val="0"/>
          <w:numId w:val="2"/>
        </w:numPr>
        <w:spacing w:line="276" w:lineRule="auto"/>
        <w:rPr>
          <w:rFonts w:eastAsia="MS Minngs"/>
          <w:sz w:val="24"/>
          <w:szCs w:val="24"/>
          <w:lang w:val="en-US"/>
        </w:rPr>
      </w:pPr>
      <w:r w:rsidRPr="00CE5BED">
        <w:rPr>
          <w:rFonts w:eastAsia="MS Minngs"/>
          <w:sz w:val="24"/>
          <w:szCs w:val="24"/>
          <w:lang w:val="en-US"/>
        </w:rPr>
        <w:t>Overcoming Anorexia Nervosa: A Self-Help Guide to Using Cognitive Behavioural Techniques. C. Freeman (2002). Robinson.</w:t>
      </w:r>
    </w:p>
    <w:p w14:paraId="6E8E6BB4" w14:textId="77777777" w:rsidR="00F62CE7" w:rsidRPr="00CE5BED" w:rsidRDefault="00F62CE7" w:rsidP="00F62CE7">
      <w:pPr>
        <w:numPr>
          <w:ilvl w:val="0"/>
          <w:numId w:val="2"/>
        </w:numPr>
        <w:spacing w:line="276" w:lineRule="auto"/>
        <w:rPr>
          <w:rFonts w:eastAsia="MS Minngs"/>
          <w:sz w:val="24"/>
          <w:szCs w:val="24"/>
          <w:lang w:val="en-US"/>
        </w:rPr>
      </w:pPr>
      <w:r w:rsidRPr="00CE5BED">
        <w:rPr>
          <w:rFonts w:eastAsia="MS Minngs"/>
          <w:sz w:val="24"/>
          <w:szCs w:val="24"/>
          <w:lang w:val="en-US"/>
        </w:rPr>
        <w:t>Anorexia Nervosa: The Wish to Change. A. H. Crisp, N. Joughin, C. Bowyer (1996). Psychology Press.</w:t>
      </w:r>
    </w:p>
    <w:p w14:paraId="68C6CF99" w14:textId="77777777" w:rsidR="00F62CE7" w:rsidRPr="00CE5BED" w:rsidRDefault="00F62CE7" w:rsidP="00F62CE7">
      <w:pPr>
        <w:numPr>
          <w:ilvl w:val="0"/>
          <w:numId w:val="2"/>
        </w:numPr>
        <w:spacing w:line="276" w:lineRule="auto"/>
        <w:rPr>
          <w:rFonts w:eastAsia="MS Minngs"/>
          <w:sz w:val="24"/>
          <w:szCs w:val="24"/>
          <w:lang w:val="en-US"/>
        </w:rPr>
      </w:pPr>
      <w:r w:rsidRPr="00CE5BED">
        <w:rPr>
          <w:rFonts w:eastAsia="MS Minngs"/>
          <w:sz w:val="24"/>
          <w:szCs w:val="24"/>
          <w:lang w:val="en-US"/>
        </w:rPr>
        <w:t>Anorexia Nervosa. R. Palmer (1989). Penguin.</w:t>
      </w:r>
    </w:p>
    <w:p w14:paraId="2E17207C" w14:textId="77777777" w:rsidR="00F62CE7" w:rsidRPr="00CE5BED" w:rsidRDefault="00F62CE7" w:rsidP="00F62CE7">
      <w:pPr>
        <w:numPr>
          <w:ilvl w:val="0"/>
          <w:numId w:val="2"/>
        </w:numPr>
        <w:spacing w:line="276" w:lineRule="auto"/>
        <w:rPr>
          <w:rFonts w:eastAsia="MS Minngs"/>
          <w:sz w:val="24"/>
          <w:szCs w:val="24"/>
          <w:lang w:val="en-US"/>
        </w:rPr>
      </w:pPr>
      <w:r w:rsidRPr="00CE5BED">
        <w:rPr>
          <w:rFonts w:eastAsia="MS Minngs"/>
          <w:sz w:val="24"/>
          <w:szCs w:val="24"/>
          <w:lang w:val="en-US"/>
        </w:rPr>
        <w:t>Mealtimes and Milestones: A Teenager’s Diary of Moving on from Anorexia. Constance Barter (2010). Robinson.</w:t>
      </w:r>
    </w:p>
    <w:p w14:paraId="48461135" w14:textId="77777777" w:rsidR="00F62CE7" w:rsidRPr="00CE5BED" w:rsidRDefault="00F62CE7" w:rsidP="00F62CE7">
      <w:pPr>
        <w:spacing w:line="276" w:lineRule="auto"/>
        <w:rPr>
          <w:rFonts w:eastAsia="MS Minngs"/>
          <w:sz w:val="24"/>
          <w:szCs w:val="24"/>
          <w:lang w:val="en-US"/>
        </w:rPr>
      </w:pPr>
    </w:p>
    <w:p w14:paraId="430F0821" w14:textId="77777777" w:rsidR="00F62CE7" w:rsidRPr="00CE5BED" w:rsidRDefault="00F62CE7" w:rsidP="00F62CE7">
      <w:pPr>
        <w:spacing w:line="276" w:lineRule="auto"/>
        <w:rPr>
          <w:rFonts w:eastAsia="MS Minngs"/>
          <w:b/>
          <w:sz w:val="24"/>
          <w:szCs w:val="24"/>
          <w:lang w:val="en-US"/>
        </w:rPr>
      </w:pPr>
      <w:r w:rsidRPr="00CE5BED">
        <w:rPr>
          <w:rFonts w:eastAsia="MS Minngs"/>
          <w:b/>
          <w:sz w:val="24"/>
          <w:szCs w:val="24"/>
          <w:lang w:val="en-US"/>
        </w:rPr>
        <w:lastRenderedPageBreak/>
        <w:t>Bulimia Nervosa/Binge Eating</w:t>
      </w:r>
    </w:p>
    <w:p w14:paraId="32B7A6B7" w14:textId="77777777" w:rsidR="00F62CE7" w:rsidRPr="00CE5BED" w:rsidRDefault="00F62CE7" w:rsidP="00F62CE7">
      <w:pPr>
        <w:numPr>
          <w:ilvl w:val="0"/>
          <w:numId w:val="3"/>
        </w:numPr>
        <w:spacing w:line="276" w:lineRule="auto"/>
        <w:rPr>
          <w:rFonts w:eastAsia="MS Minngs"/>
          <w:sz w:val="24"/>
          <w:szCs w:val="24"/>
          <w:lang w:val="en-US"/>
        </w:rPr>
      </w:pPr>
      <w:r w:rsidRPr="00CE5BED">
        <w:rPr>
          <w:rFonts w:eastAsia="MS Minngs"/>
          <w:sz w:val="24"/>
          <w:szCs w:val="24"/>
          <w:lang w:val="en-US"/>
        </w:rPr>
        <w:t>Bulimia Nervosa and Binge Eating: A Guide to Recovery. P.J. Cooper (1995). Robinson.</w:t>
      </w:r>
    </w:p>
    <w:p w14:paraId="4A839452" w14:textId="77777777" w:rsidR="00F62CE7" w:rsidRPr="00CE5BED" w:rsidRDefault="00F62CE7" w:rsidP="00F62CE7">
      <w:pPr>
        <w:numPr>
          <w:ilvl w:val="0"/>
          <w:numId w:val="3"/>
        </w:numPr>
        <w:spacing w:line="276" w:lineRule="auto"/>
        <w:rPr>
          <w:rFonts w:eastAsia="MS Minngs"/>
          <w:sz w:val="24"/>
          <w:szCs w:val="24"/>
          <w:lang w:val="en-US"/>
        </w:rPr>
      </w:pPr>
      <w:r w:rsidRPr="00CE5BED">
        <w:rPr>
          <w:rFonts w:eastAsia="MS Minngs"/>
          <w:sz w:val="24"/>
          <w:szCs w:val="24"/>
          <w:lang w:val="en-US"/>
        </w:rPr>
        <w:t>Overcoming Binge Eating. C. Fairburn (1995). Guildford Press.</w:t>
      </w:r>
    </w:p>
    <w:p w14:paraId="34DDDF76" w14:textId="77777777" w:rsidR="00F62CE7" w:rsidRPr="00CE5BED" w:rsidRDefault="00F62CE7" w:rsidP="00F62CE7">
      <w:pPr>
        <w:numPr>
          <w:ilvl w:val="0"/>
          <w:numId w:val="3"/>
        </w:numPr>
        <w:spacing w:line="276" w:lineRule="auto"/>
        <w:rPr>
          <w:rFonts w:eastAsia="MS Minngs"/>
          <w:sz w:val="24"/>
          <w:szCs w:val="24"/>
          <w:lang w:val="en-US"/>
        </w:rPr>
      </w:pPr>
      <w:r w:rsidRPr="00CE5BED">
        <w:rPr>
          <w:rFonts w:eastAsia="MS Minngs"/>
          <w:sz w:val="24"/>
          <w:szCs w:val="24"/>
          <w:lang w:val="en-US"/>
        </w:rPr>
        <w:t>Getting Better Bit(e) by Bit(e). U. Schmidt, J. Treasure (1993). Lawrence Erlbaum Associates Ltd.</w:t>
      </w:r>
    </w:p>
    <w:p w14:paraId="3ED28B42" w14:textId="77777777" w:rsidR="00F62CE7" w:rsidRPr="00CE5BED" w:rsidRDefault="00F62CE7" w:rsidP="00F62CE7">
      <w:pPr>
        <w:pStyle w:val="ListParagraph"/>
        <w:numPr>
          <w:ilvl w:val="0"/>
          <w:numId w:val="3"/>
        </w:numPr>
        <w:spacing w:after="0" w:line="240" w:lineRule="auto"/>
        <w:rPr>
          <w:rFonts w:ascii="Calibri" w:eastAsia="MS Minngs" w:hAnsi="Calibri" w:cs="Calibri"/>
          <w:sz w:val="24"/>
          <w:szCs w:val="24"/>
          <w:lang w:val="en-US"/>
        </w:rPr>
      </w:pPr>
      <w:r w:rsidRPr="00CE5BED">
        <w:rPr>
          <w:rFonts w:ascii="Calibri" w:eastAsia="MS Minngs" w:hAnsi="Calibri" w:cs="Calibri"/>
          <w:sz w:val="24"/>
          <w:szCs w:val="24"/>
          <w:lang w:val="en-US"/>
        </w:rPr>
        <w:t>-‘The Compassionate Mind Approach to Beating Overeating’ by Kenneth Goss</w:t>
      </w:r>
    </w:p>
    <w:p w14:paraId="2E353134" w14:textId="77777777" w:rsidR="00F62CE7" w:rsidRPr="00CE5BED" w:rsidRDefault="00F62CE7" w:rsidP="00F62CE7">
      <w:pPr>
        <w:spacing w:line="276" w:lineRule="auto"/>
        <w:rPr>
          <w:rFonts w:eastAsia="MS Minngs"/>
          <w:sz w:val="24"/>
          <w:szCs w:val="24"/>
          <w:lang w:val="en-US"/>
        </w:rPr>
      </w:pPr>
    </w:p>
    <w:p w14:paraId="49AD63A5" w14:textId="77777777" w:rsidR="00F62CE7" w:rsidRPr="00CE5BED" w:rsidRDefault="00F62CE7" w:rsidP="00F62CE7">
      <w:pPr>
        <w:rPr>
          <w:sz w:val="24"/>
          <w:szCs w:val="24"/>
        </w:rPr>
      </w:pPr>
      <w:r w:rsidRPr="00CE5BED">
        <w:rPr>
          <w:b/>
          <w:bCs/>
          <w:sz w:val="24"/>
          <w:szCs w:val="24"/>
        </w:rPr>
        <w:t>For All diagnoses:</w:t>
      </w:r>
    </w:p>
    <w:p w14:paraId="1BD47CEC" w14:textId="77777777" w:rsidR="00F62CE7" w:rsidRPr="00CE5BED" w:rsidRDefault="00F62CE7" w:rsidP="00F62CE7">
      <w:pPr>
        <w:rPr>
          <w:sz w:val="24"/>
          <w:szCs w:val="24"/>
        </w:rPr>
      </w:pPr>
      <w:r w:rsidRPr="00CE5BED">
        <w:rPr>
          <w:sz w:val="24"/>
          <w:szCs w:val="24"/>
        </w:rPr>
        <w:t>- Beating Your Eating Disorder: A Cognitive-Behavioural Self-Help Guide for Adult Sufferers and their Carers by Glenn Waller, Victoria Mountford, Rachel Lawson and Emma Gray</w:t>
      </w:r>
    </w:p>
    <w:p w14:paraId="41C92441" w14:textId="77777777" w:rsidR="00F62CE7" w:rsidRPr="00CE5BED" w:rsidRDefault="00F62CE7" w:rsidP="00F62CE7">
      <w:pPr>
        <w:rPr>
          <w:sz w:val="24"/>
          <w:szCs w:val="24"/>
        </w:rPr>
      </w:pPr>
      <w:r w:rsidRPr="00CE5BED">
        <w:rPr>
          <w:sz w:val="24"/>
          <w:szCs w:val="24"/>
        </w:rPr>
        <w:t> </w:t>
      </w:r>
    </w:p>
    <w:p w14:paraId="5C80A622" w14:textId="77777777" w:rsidR="00F62CE7" w:rsidRPr="00CE5BED" w:rsidRDefault="00F62CE7" w:rsidP="00F62CE7">
      <w:pPr>
        <w:spacing w:line="276" w:lineRule="auto"/>
        <w:rPr>
          <w:rFonts w:eastAsia="MS Minngs"/>
          <w:b/>
          <w:sz w:val="24"/>
          <w:szCs w:val="24"/>
          <w:lang w:val="en-US"/>
        </w:rPr>
      </w:pPr>
      <w:r w:rsidRPr="00CE5BED">
        <w:rPr>
          <w:sz w:val="24"/>
          <w:szCs w:val="24"/>
        </w:rPr>
        <w:t xml:space="preserve">The smartphone application </w:t>
      </w:r>
      <w:r w:rsidRPr="00CE5BED">
        <w:rPr>
          <w:b/>
          <w:bCs/>
          <w:sz w:val="24"/>
          <w:szCs w:val="24"/>
        </w:rPr>
        <w:t>‘Recovery Record for Eating Disorder Management’</w:t>
      </w:r>
      <w:r w:rsidRPr="00CE5BED">
        <w:rPr>
          <w:sz w:val="24"/>
          <w:szCs w:val="24"/>
        </w:rPr>
        <w:t xml:space="preserve"> can also be helpful. This is not a product of the service, although it has received positive feedback from service users.</w:t>
      </w:r>
      <w:r w:rsidRPr="00CE5BED">
        <w:rPr>
          <w:sz w:val="24"/>
          <w:szCs w:val="24"/>
        </w:rPr>
        <w:br/>
      </w:r>
    </w:p>
    <w:sectPr w:rsidR="00F62CE7" w:rsidRPr="00CE5BE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570FE" w14:textId="77777777" w:rsidR="00E04E7B" w:rsidRDefault="00E04E7B" w:rsidP="00CE5BED">
      <w:r>
        <w:separator/>
      </w:r>
    </w:p>
  </w:endnote>
  <w:endnote w:type="continuationSeparator" w:id="0">
    <w:p w14:paraId="1F9280CB" w14:textId="77777777" w:rsidR="00E04E7B" w:rsidRDefault="00E04E7B" w:rsidP="00CE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Yu Gothic"/>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901179"/>
      <w:docPartObj>
        <w:docPartGallery w:val="Page Numbers (Bottom of Page)"/>
        <w:docPartUnique/>
      </w:docPartObj>
    </w:sdtPr>
    <w:sdtEndPr>
      <w:rPr>
        <w:noProof/>
      </w:rPr>
    </w:sdtEndPr>
    <w:sdtContent>
      <w:p w14:paraId="657EB5B6" w14:textId="77777777" w:rsidR="00CE5BED" w:rsidRDefault="00CE5BE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490E054C" w14:textId="77777777" w:rsidR="00CE5BED" w:rsidRDefault="00CE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B5DD0" w14:textId="77777777" w:rsidR="00E04E7B" w:rsidRDefault="00E04E7B" w:rsidP="00CE5BED">
      <w:r>
        <w:separator/>
      </w:r>
    </w:p>
  </w:footnote>
  <w:footnote w:type="continuationSeparator" w:id="0">
    <w:p w14:paraId="3E1B46AF" w14:textId="77777777" w:rsidR="00E04E7B" w:rsidRDefault="00E04E7B" w:rsidP="00CE5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5C0B" w14:textId="77777777" w:rsidR="00CE5BED" w:rsidRDefault="00CE5BED" w:rsidP="00CE5BED">
    <w:pPr>
      <w:pStyle w:val="Header"/>
      <w:jc w:val="right"/>
    </w:pPr>
    <w:r>
      <w:rPr>
        <w:noProof/>
        <w:lang w:eastAsia="en-GB"/>
      </w:rPr>
      <w:drawing>
        <wp:inline distT="0" distB="0" distL="0" distR="0" wp14:anchorId="40B4FABA" wp14:editId="7A038FC1">
          <wp:extent cx="2552700" cy="504825"/>
          <wp:effectExtent l="0" t="0" r="0" b="9525"/>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540FA"/>
    <w:multiLevelType w:val="hybridMultilevel"/>
    <w:tmpl w:val="E7C04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552FCB"/>
    <w:multiLevelType w:val="hybridMultilevel"/>
    <w:tmpl w:val="B6CAD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340D8"/>
    <w:multiLevelType w:val="hybridMultilevel"/>
    <w:tmpl w:val="AE92B22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AA4BB9"/>
    <w:multiLevelType w:val="hybridMultilevel"/>
    <w:tmpl w:val="7A020DAE"/>
    <w:lvl w:ilvl="0" w:tplc="2870BB82">
      <w:start w:val="1"/>
      <w:numFmt w:val="bullet"/>
      <w:lvlText w:val=""/>
      <w:lvlJc w:val="left"/>
      <w:pPr>
        <w:tabs>
          <w:tab w:val="num" w:pos="720"/>
        </w:tabs>
        <w:ind w:left="720" w:hanging="360"/>
      </w:pPr>
      <w:rPr>
        <w:rFonts w:ascii="Symbol" w:hAnsi="Symbol" w:hint="default"/>
      </w:rPr>
    </w:lvl>
    <w:lvl w:ilvl="1" w:tplc="FBFA3E7A">
      <w:start w:val="221"/>
      <w:numFmt w:val="bullet"/>
      <w:lvlText w:val=""/>
      <w:lvlJc w:val="left"/>
      <w:pPr>
        <w:tabs>
          <w:tab w:val="num" w:pos="1440"/>
        </w:tabs>
        <w:ind w:left="1440" w:hanging="360"/>
      </w:pPr>
      <w:rPr>
        <w:rFonts w:ascii="Symbol" w:hAnsi="Symbol" w:hint="default"/>
      </w:rPr>
    </w:lvl>
    <w:lvl w:ilvl="2" w:tplc="5A526B6A">
      <w:start w:val="1"/>
      <w:numFmt w:val="bullet"/>
      <w:lvlText w:val=""/>
      <w:lvlJc w:val="left"/>
      <w:pPr>
        <w:tabs>
          <w:tab w:val="num" w:pos="2160"/>
        </w:tabs>
        <w:ind w:left="2160" w:hanging="360"/>
      </w:pPr>
      <w:rPr>
        <w:rFonts w:ascii="Symbol" w:hAnsi="Symbol" w:hint="default"/>
      </w:rPr>
    </w:lvl>
    <w:lvl w:ilvl="3" w:tplc="44586768">
      <w:start w:val="1"/>
      <w:numFmt w:val="bullet"/>
      <w:lvlText w:val=""/>
      <w:lvlJc w:val="left"/>
      <w:pPr>
        <w:tabs>
          <w:tab w:val="num" w:pos="2880"/>
        </w:tabs>
        <w:ind w:left="2880" w:hanging="360"/>
      </w:pPr>
      <w:rPr>
        <w:rFonts w:ascii="Symbol" w:hAnsi="Symbol" w:hint="default"/>
      </w:rPr>
    </w:lvl>
    <w:lvl w:ilvl="4" w:tplc="7BB41CCA">
      <w:start w:val="1"/>
      <w:numFmt w:val="bullet"/>
      <w:lvlText w:val=""/>
      <w:lvlJc w:val="left"/>
      <w:pPr>
        <w:tabs>
          <w:tab w:val="num" w:pos="3600"/>
        </w:tabs>
        <w:ind w:left="3600" w:hanging="360"/>
      </w:pPr>
      <w:rPr>
        <w:rFonts w:ascii="Symbol" w:hAnsi="Symbol" w:hint="default"/>
      </w:rPr>
    </w:lvl>
    <w:lvl w:ilvl="5" w:tplc="C79ADC48">
      <w:start w:val="1"/>
      <w:numFmt w:val="bullet"/>
      <w:lvlText w:val=""/>
      <w:lvlJc w:val="left"/>
      <w:pPr>
        <w:tabs>
          <w:tab w:val="num" w:pos="4320"/>
        </w:tabs>
        <w:ind w:left="4320" w:hanging="360"/>
      </w:pPr>
      <w:rPr>
        <w:rFonts w:ascii="Symbol" w:hAnsi="Symbol" w:hint="default"/>
      </w:rPr>
    </w:lvl>
    <w:lvl w:ilvl="6" w:tplc="6E2E58EA">
      <w:start w:val="1"/>
      <w:numFmt w:val="bullet"/>
      <w:lvlText w:val=""/>
      <w:lvlJc w:val="left"/>
      <w:pPr>
        <w:tabs>
          <w:tab w:val="num" w:pos="5040"/>
        </w:tabs>
        <w:ind w:left="5040" w:hanging="360"/>
      </w:pPr>
      <w:rPr>
        <w:rFonts w:ascii="Symbol" w:hAnsi="Symbol" w:hint="default"/>
      </w:rPr>
    </w:lvl>
    <w:lvl w:ilvl="7" w:tplc="73F85DE4">
      <w:start w:val="1"/>
      <w:numFmt w:val="bullet"/>
      <w:lvlText w:val=""/>
      <w:lvlJc w:val="left"/>
      <w:pPr>
        <w:tabs>
          <w:tab w:val="num" w:pos="5760"/>
        </w:tabs>
        <w:ind w:left="5760" w:hanging="360"/>
      </w:pPr>
      <w:rPr>
        <w:rFonts w:ascii="Symbol" w:hAnsi="Symbol" w:hint="default"/>
      </w:rPr>
    </w:lvl>
    <w:lvl w:ilvl="8" w:tplc="4A643624">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AA675AE"/>
    <w:multiLevelType w:val="hybridMultilevel"/>
    <w:tmpl w:val="F00A5DE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F2"/>
    <w:rsid w:val="00035CF2"/>
    <w:rsid w:val="00114D4D"/>
    <w:rsid w:val="002E2902"/>
    <w:rsid w:val="003E064B"/>
    <w:rsid w:val="00590BFB"/>
    <w:rsid w:val="005D116E"/>
    <w:rsid w:val="005F6ACF"/>
    <w:rsid w:val="007A0035"/>
    <w:rsid w:val="008E55FB"/>
    <w:rsid w:val="00BF1DEA"/>
    <w:rsid w:val="00CE5BED"/>
    <w:rsid w:val="00E04E7B"/>
    <w:rsid w:val="00F11D05"/>
    <w:rsid w:val="00F5056B"/>
    <w:rsid w:val="00F62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484F9"/>
  <w15:docId w15:val="{3DACA6BC-9886-4F31-A3B7-CCA841F3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CE7"/>
    <w:pPr>
      <w:spacing w:after="0" w:line="240" w:lineRule="auto"/>
    </w:pPr>
    <w:rPr>
      <w:rFonts w:ascii="Calibri" w:hAnsi="Calibri" w:cs="Calibri"/>
    </w:rPr>
  </w:style>
  <w:style w:type="paragraph" w:styleId="Heading2">
    <w:name w:val="heading 2"/>
    <w:basedOn w:val="Normal"/>
    <w:next w:val="Normal"/>
    <w:link w:val="Heading2Char"/>
    <w:semiHidden/>
    <w:unhideWhenUsed/>
    <w:qFormat/>
    <w:rsid w:val="00F62CE7"/>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CE7"/>
    <w:rPr>
      <w:color w:val="0000FF"/>
      <w:u w:val="single"/>
    </w:rPr>
  </w:style>
  <w:style w:type="paragraph" w:styleId="ListParagraph">
    <w:name w:val="List Paragraph"/>
    <w:basedOn w:val="Normal"/>
    <w:uiPriority w:val="34"/>
    <w:qFormat/>
    <w:rsid w:val="00F62CE7"/>
    <w:pPr>
      <w:spacing w:after="160" w:line="256" w:lineRule="auto"/>
      <w:ind w:left="720"/>
      <w:contextualSpacing/>
    </w:pPr>
    <w:rPr>
      <w:rFonts w:asciiTheme="minorHAnsi" w:hAnsiTheme="minorHAnsi" w:cstheme="minorBidi"/>
    </w:rPr>
  </w:style>
  <w:style w:type="table" w:styleId="TableGrid">
    <w:name w:val="Table Grid"/>
    <w:basedOn w:val="TableNormal"/>
    <w:rsid w:val="00F62CE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62CE7"/>
    <w:rPr>
      <w:rFonts w:ascii="Arial" w:eastAsia="Times New Roman" w:hAnsi="Arial" w:cs="Arial"/>
      <w:b/>
      <w:bCs/>
      <w:i/>
      <w:iCs/>
      <w:sz w:val="28"/>
      <w:szCs w:val="28"/>
      <w:lang w:eastAsia="en-GB"/>
    </w:rPr>
  </w:style>
  <w:style w:type="character" w:styleId="CommentReference">
    <w:name w:val="annotation reference"/>
    <w:basedOn w:val="DefaultParagraphFont"/>
    <w:uiPriority w:val="99"/>
    <w:semiHidden/>
    <w:unhideWhenUsed/>
    <w:rsid w:val="003E064B"/>
    <w:rPr>
      <w:sz w:val="16"/>
      <w:szCs w:val="16"/>
    </w:rPr>
  </w:style>
  <w:style w:type="paragraph" w:styleId="CommentText">
    <w:name w:val="annotation text"/>
    <w:basedOn w:val="Normal"/>
    <w:link w:val="CommentTextChar"/>
    <w:uiPriority w:val="99"/>
    <w:semiHidden/>
    <w:unhideWhenUsed/>
    <w:rsid w:val="003E064B"/>
    <w:rPr>
      <w:sz w:val="20"/>
      <w:szCs w:val="20"/>
    </w:rPr>
  </w:style>
  <w:style w:type="character" w:customStyle="1" w:styleId="CommentTextChar">
    <w:name w:val="Comment Text Char"/>
    <w:basedOn w:val="DefaultParagraphFont"/>
    <w:link w:val="CommentText"/>
    <w:uiPriority w:val="99"/>
    <w:semiHidden/>
    <w:rsid w:val="003E064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E064B"/>
    <w:rPr>
      <w:b/>
      <w:bCs/>
    </w:rPr>
  </w:style>
  <w:style w:type="character" w:customStyle="1" w:styleId="CommentSubjectChar">
    <w:name w:val="Comment Subject Char"/>
    <w:basedOn w:val="CommentTextChar"/>
    <w:link w:val="CommentSubject"/>
    <w:uiPriority w:val="99"/>
    <w:semiHidden/>
    <w:rsid w:val="003E064B"/>
    <w:rPr>
      <w:rFonts w:ascii="Calibri" w:hAnsi="Calibri" w:cs="Calibri"/>
      <w:b/>
      <w:bCs/>
      <w:sz w:val="20"/>
      <w:szCs w:val="20"/>
    </w:rPr>
  </w:style>
  <w:style w:type="paragraph" w:styleId="BalloonText">
    <w:name w:val="Balloon Text"/>
    <w:basedOn w:val="Normal"/>
    <w:link w:val="BalloonTextChar"/>
    <w:uiPriority w:val="99"/>
    <w:semiHidden/>
    <w:unhideWhenUsed/>
    <w:rsid w:val="003E064B"/>
    <w:rPr>
      <w:rFonts w:ascii="Tahoma" w:hAnsi="Tahoma" w:cs="Tahoma"/>
      <w:sz w:val="16"/>
      <w:szCs w:val="16"/>
    </w:rPr>
  </w:style>
  <w:style w:type="character" w:customStyle="1" w:styleId="BalloonTextChar">
    <w:name w:val="Balloon Text Char"/>
    <w:basedOn w:val="DefaultParagraphFont"/>
    <w:link w:val="BalloonText"/>
    <w:uiPriority w:val="99"/>
    <w:semiHidden/>
    <w:rsid w:val="003E064B"/>
    <w:rPr>
      <w:rFonts w:ascii="Tahoma" w:hAnsi="Tahoma" w:cs="Tahoma"/>
      <w:sz w:val="16"/>
      <w:szCs w:val="16"/>
    </w:rPr>
  </w:style>
  <w:style w:type="paragraph" w:styleId="Header">
    <w:name w:val="header"/>
    <w:basedOn w:val="Normal"/>
    <w:link w:val="HeaderChar"/>
    <w:uiPriority w:val="99"/>
    <w:unhideWhenUsed/>
    <w:rsid w:val="00CE5BED"/>
    <w:pPr>
      <w:tabs>
        <w:tab w:val="center" w:pos="4513"/>
        <w:tab w:val="right" w:pos="9026"/>
      </w:tabs>
    </w:pPr>
  </w:style>
  <w:style w:type="character" w:customStyle="1" w:styleId="HeaderChar">
    <w:name w:val="Header Char"/>
    <w:basedOn w:val="DefaultParagraphFont"/>
    <w:link w:val="Header"/>
    <w:uiPriority w:val="99"/>
    <w:rsid w:val="00CE5BED"/>
    <w:rPr>
      <w:rFonts w:ascii="Calibri" w:hAnsi="Calibri" w:cs="Calibri"/>
    </w:rPr>
  </w:style>
  <w:style w:type="paragraph" w:styleId="Footer">
    <w:name w:val="footer"/>
    <w:basedOn w:val="Normal"/>
    <w:link w:val="FooterChar"/>
    <w:uiPriority w:val="99"/>
    <w:unhideWhenUsed/>
    <w:rsid w:val="00CE5BED"/>
    <w:pPr>
      <w:tabs>
        <w:tab w:val="center" w:pos="4513"/>
        <w:tab w:val="right" w:pos="9026"/>
      </w:tabs>
    </w:pPr>
  </w:style>
  <w:style w:type="character" w:customStyle="1" w:styleId="FooterChar">
    <w:name w:val="Footer Char"/>
    <w:basedOn w:val="DefaultParagraphFont"/>
    <w:link w:val="Footer"/>
    <w:uiPriority w:val="99"/>
    <w:rsid w:val="00CE5BE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072817">
      <w:bodyDiv w:val="1"/>
      <w:marLeft w:val="0"/>
      <w:marRight w:val="0"/>
      <w:marTop w:val="0"/>
      <w:marBottom w:val="0"/>
      <w:divBdr>
        <w:top w:val="none" w:sz="0" w:space="0" w:color="auto"/>
        <w:left w:val="none" w:sz="0" w:space="0" w:color="auto"/>
        <w:bottom w:val="none" w:sz="0" w:space="0" w:color="auto"/>
        <w:right w:val="none" w:sz="0" w:space="0" w:color="auto"/>
      </w:divBdr>
    </w:div>
    <w:div w:id="571158850">
      <w:bodyDiv w:val="1"/>
      <w:marLeft w:val="0"/>
      <w:marRight w:val="0"/>
      <w:marTop w:val="0"/>
      <w:marBottom w:val="0"/>
      <w:divBdr>
        <w:top w:val="none" w:sz="0" w:space="0" w:color="auto"/>
        <w:left w:val="none" w:sz="0" w:space="0" w:color="auto"/>
        <w:bottom w:val="none" w:sz="0" w:space="0" w:color="auto"/>
        <w:right w:val="none" w:sz="0" w:space="0" w:color="auto"/>
      </w:divBdr>
    </w:div>
    <w:div w:id="596601598">
      <w:bodyDiv w:val="1"/>
      <w:marLeft w:val="0"/>
      <w:marRight w:val="0"/>
      <w:marTop w:val="0"/>
      <w:marBottom w:val="0"/>
      <w:divBdr>
        <w:top w:val="none" w:sz="0" w:space="0" w:color="auto"/>
        <w:left w:val="none" w:sz="0" w:space="0" w:color="auto"/>
        <w:bottom w:val="none" w:sz="0" w:space="0" w:color="auto"/>
        <w:right w:val="none" w:sz="0" w:space="0" w:color="auto"/>
      </w:divBdr>
    </w:div>
    <w:div w:id="636186701">
      <w:bodyDiv w:val="1"/>
      <w:marLeft w:val="0"/>
      <w:marRight w:val="0"/>
      <w:marTop w:val="0"/>
      <w:marBottom w:val="0"/>
      <w:divBdr>
        <w:top w:val="none" w:sz="0" w:space="0" w:color="auto"/>
        <w:left w:val="none" w:sz="0" w:space="0" w:color="auto"/>
        <w:bottom w:val="none" w:sz="0" w:space="0" w:color="auto"/>
        <w:right w:val="none" w:sz="0" w:space="0" w:color="auto"/>
      </w:divBdr>
    </w:div>
    <w:div w:id="1049035945">
      <w:bodyDiv w:val="1"/>
      <w:marLeft w:val="0"/>
      <w:marRight w:val="0"/>
      <w:marTop w:val="0"/>
      <w:marBottom w:val="0"/>
      <w:divBdr>
        <w:top w:val="none" w:sz="0" w:space="0" w:color="auto"/>
        <w:left w:val="none" w:sz="0" w:space="0" w:color="auto"/>
        <w:bottom w:val="none" w:sz="0" w:space="0" w:color="auto"/>
        <w:right w:val="none" w:sz="0" w:space="0" w:color="auto"/>
      </w:divBdr>
    </w:div>
    <w:div w:id="1267270298">
      <w:bodyDiv w:val="1"/>
      <w:marLeft w:val="0"/>
      <w:marRight w:val="0"/>
      <w:marTop w:val="0"/>
      <w:marBottom w:val="0"/>
      <w:divBdr>
        <w:top w:val="none" w:sz="0" w:space="0" w:color="auto"/>
        <w:left w:val="none" w:sz="0" w:space="0" w:color="auto"/>
        <w:bottom w:val="none" w:sz="0" w:space="0" w:color="auto"/>
        <w:right w:val="none" w:sz="0" w:space="0" w:color="auto"/>
      </w:divBdr>
    </w:div>
    <w:div w:id="1394813257">
      <w:bodyDiv w:val="1"/>
      <w:marLeft w:val="0"/>
      <w:marRight w:val="0"/>
      <w:marTop w:val="0"/>
      <w:marBottom w:val="0"/>
      <w:divBdr>
        <w:top w:val="none" w:sz="0" w:space="0" w:color="auto"/>
        <w:left w:val="none" w:sz="0" w:space="0" w:color="auto"/>
        <w:bottom w:val="none" w:sz="0" w:space="0" w:color="auto"/>
        <w:right w:val="none" w:sz="0" w:space="0" w:color="auto"/>
      </w:divBdr>
    </w:div>
    <w:div w:id="1539201913">
      <w:bodyDiv w:val="1"/>
      <w:marLeft w:val="0"/>
      <w:marRight w:val="0"/>
      <w:marTop w:val="0"/>
      <w:marBottom w:val="0"/>
      <w:divBdr>
        <w:top w:val="none" w:sz="0" w:space="0" w:color="auto"/>
        <w:left w:val="none" w:sz="0" w:space="0" w:color="auto"/>
        <w:bottom w:val="none" w:sz="0" w:space="0" w:color="auto"/>
        <w:right w:val="none" w:sz="0" w:space="0" w:color="auto"/>
      </w:divBdr>
    </w:div>
    <w:div w:id="20083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health.nhs.uk/cotswoldhou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cesca.Battisti@oxfordhealth.nhs.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ci.health.wa.gov.au/Resources/Looking-After-Yourself/Disordered-Eating" TargetMode="External"/><Relationship Id="rId4" Type="http://schemas.openxmlformats.org/officeDocument/2006/relationships/webSettings" Target="webSettings.xml"/><Relationship Id="rId9" Type="http://schemas.openxmlformats.org/officeDocument/2006/relationships/hyperlink" Target="https://www.beateatingdisorder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7E4E.F339CF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Ruddle Georgina</dc:creator>
  <cp:lastModifiedBy>Pasek Agnieszka (RNU) Oxford Health</cp:lastModifiedBy>
  <cp:revision>5</cp:revision>
  <dcterms:created xsi:type="dcterms:W3CDTF">2021-07-26T10:22:00Z</dcterms:created>
  <dcterms:modified xsi:type="dcterms:W3CDTF">2021-07-26T10:28:00Z</dcterms:modified>
</cp:coreProperties>
</file>