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96488" w14:textId="77777777" w:rsidR="00FB04A8" w:rsidRPr="00FB04A8" w:rsidRDefault="00FB04A8" w:rsidP="00FB04A8"/>
    <w:p w14:paraId="73A5B0E6" w14:textId="77777777" w:rsidR="00FB04A8" w:rsidRPr="00FB04A8" w:rsidRDefault="00FB04A8" w:rsidP="00FB04A8"/>
    <w:p w14:paraId="77D146F2" w14:textId="2C2976B1" w:rsidR="00FB04A8" w:rsidRPr="00E50F43" w:rsidRDefault="00E50F43" w:rsidP="00E50F43">
      <w:pPr>
        <w:jc w:val="center"/>
        <w:rPr>
          <w:b/>
          <w:bCs/>
          <w:sz w:val="28"/>
          <w:szCs w:val="28"/>
        </w:rPr>
      </w:pPr>
      <w:r w:rsidRPr="00E50F43">
        <w:rPr>
          <w:b/>
          <w:bCs/>
          <w:sz w:val="28"/>
          <w:szCs w:val="28"/>
        </w:rPr>
        <w:t xml:space="preserve">Questions and </w:t>
      </w:r>
      <w:r>
        <w:rPr>
          <w:b/>
          <w:bCs/>
          <w:sz w:val="28"/>
          <w:szCs w:val="28"/>
        </w:rPr>
        <w:t>a</w:t>
      </w:r>
      <w:r w:rsidRPr="00E50F43">
        <w:rPr>
          <w:b/>
          <w:bCs/>
          <w:sz w:val="28"/>
          <w:szCs w:val="28"/>
        </w:rPr>
        <w:t>nswers from the AGM held on 10 September 2020</w:t>
      </w:r>
    </w:p>
    <w:p w14:paraId="525E5A5B" w14:textId="77777777" w:rsidR="00E50F43" w:rsidRDefault="00E50F43" w:rsidP="00E50F43">
      <w:pPr>
        <w:jc w:val="center"/>
        <w:rPr>
          <w:b/>
          <w:u w:val="single"/>
        </w:rPr>
      </w:pPr>
    </w:p>
    <w:p w14:paraId="08BD46A7" w14:textId="28C458E3" w:rsidR="00E50F43" w:rsidRDefault="00E50F43" w:rsidP="00E50F43">
      <w:pPr>
        <w:rPr>
          <w:b/>
        </w:rPr>
      </w:pPr>
      <w:r w:rsidRPr="005F14E3">
        <w:rPr>
          <w:b/>
        </w:rPr>
        <w:t>Panel</w:t>
      </w:r>
    </w:p>
    <w:p w14:paraId="314D8A7A" w14:textId="4DBB3E70" w:rsidR="00E50F43" w:rsidRDefault="00E50F43" w:rsidP="00E50F43">
      <w:pPr>
        <w:rPr>
          <w:b/>
        </w:rPr>
      </w:pPr>
    </w:p>
    <w:p w14:paraId="604C363B" w14:textId="299CB9EA" w:rsidR="00E50F43" w:rsidRPr="00E50F43" w:rsidRDefault="00E50F43" w:rsidP="00E50F43">
      <w:pPr>
        <w:rPr>
          <w:bCs/>
        </w:rPr>
      </w:pPr>
      <w:r w:rsidRPr="00E50F43">
        <w:rPr>
          <w:bCs/>
        </w:rPr>
        <w:t>Andrew Girdher</w:t>
      </w:r>
      <w:r w:rsidR="006865FA">
        <w:rPr>
          <w:bCs/>
        </w:rPr>
        <w:t xml:space="preserve">, </w:t>
      </w:r>
      <w:r w:rsidR="006865FA" w:rsidRPr="009A5D4D">
        <w:rPr>
          <w:rFonts w:ascii="Arial" w:hAnsi="Arial" w:cs="Arial"/>
        </w:rPr>
        <w:t>Clinical Chair</w:t>
      </w:r>
      <w:r w:rsidR="006865FA">
        <w:rPr>
          <w:rFonts w:ascii="Arial" w:hAnsi="Arial" w:cs="Arial"/>
        </w:rPr>
        <w:t xml:space="preserve"> </w:t>
      </w:r>
      <w:r w:rsidRPr="00E50F43">
        <w:rPr>
          <w:bCs/>
        </w:rPr>
        <w:t>– AG</w:t>
      </w:r>
      <w:r w:rsidR="00D40206">
        <w:rPr>
          <w:bCs/>
        </w:rPr>
        <w:t xml:space="preserve"> </w:t>
      </w:r>
    </w:p>
    <w:p w14:paraId="66C94CCC" w14:textId="0EE5DF22" w:rsidR="00E50F43" w:rsidRPr="00E50F43" w:rsidRDefault="00E50F43" w:rsidP="00E50F43">
      <w:pPr>
        <w:rPr>
          <w:bCs/>
        </w:rPr>
      </w:pPr>
      <w:r w:rsidRPr="00E50F43">
        <w:rPr>
          <w:bCs/>
        </w:rPr>
        <w:t>Tracey Cox</w:t>
      </w:r>
      <w:r w:rsidR="00F63B0D">
        <w:rPr>
          <w:bCs/>
        </w:rPr>
        <w:t>, Chief Executive</w:t>
      </w:r>
      <w:r w:rsidRPr="00E50F43">
        <w:rPr>
          <w:bCs/>
        </w:rPr>
        <w:t xml:space="preserve"> – TC</w:t>
      </w:r>
    </w:p>
    <w:p w14:paraId="5394265E" w14:textId="78C49BDF" w:rsidR="00E50F43" w:rsidRPr="00E50F43" w:rsidRDefault="00E50F43" w:rsidP="00E50F43">
      <w:pPr>
        <w:rPr>
          <w:bCs/>
        </w:rPr>
      </w:pPr>
      <w:r w:rsidRPr="00E50F43">
        <w:rPr>
          <w:bCs/>
        </w:rPr>
        <w:t>Caroline Gregory</w:t>
      </w:r>
      <w:r w:rsidR="00F63B0D">
        <w:rPr>
          <w:bCs/>
        </w:rPr>
        <w:t xml:space="preserve">, </w:t>
      </w:r>
      <w:r w:rsidR="00F63B0D" w:rsidRPr="009A5D4D">
        <w:rPr>
          <w:rFonts w:ascii="Arial" w:hAnsi="Arial" w:cs="Arial"/>
        </w:rPr>
        <w:t>Chief Finance Officer</w:t>
      </w:r>
      <w:r w:rsidRPr="00E50F43">
        <w:rPr>
          <w:bCs/>
        </w:rPr>
        <w:t xml:space="preserve"> – CG</w:t>
      </w:r>
    </w:p>
    <w:p w14:paraId="7590D271" w14:textId="43ADA219" w:rsidR="00E50F43" w:rsidRPr="00E50F43" w:rsidRDefault="00E50F43" w:rsidP="00E50F43">
      <w:pPr>
        <w:rPr>
          <w:bCs/>
        </w:rPr>
      </w:pPr>
      <w:r w:rsidRPr="00E50F43">
        <w:rPr>
          <w:bCs/>
        </w:rPr>
        <w:t>Gill May</w:t>
      </w:r>
      <w:r w:rsidR="00F63B0D">
        <w:rPr>
          <w:bCs/>
        </w:rPr>
        <w:t>,</w:t>
      </w:r>
      <w:r w:rsidR="00F63B0D" w:rsidRPr="00F63B0D">
        <w:rPr>
          <w:rFonts w:ascii="Arial" w:hAnsi="Arial" w:cs="Arial"/>
        </w:rPr>
        <w:t xml:space="preserve"> </w:t>
      </w:r>
      <w:r w:rsidR="00F63B0D">
        <w:rPr>
          <w:rFonts w:ascii="Arial" w:hAnsi="Arial" w:cs="Arial"/>
        </w:rPr>
        <w:t>Director of Nursing &amp; Quality</w:t>
      </w:r>
      <w:r w:rsidR="00F63B0D">
        <w:rPr>
          <w:bCs/>
        </w:rPr>
        <w:t xml:space="preserve"> </w:t>
      </w:r>
      <w:r w:rsidRPr="00E50F43">
        <w:rPr>
          <w:bCs/>
        </w:rPr>
        <w:t>– GM</w:t>
      </w:r>
    </w:p>
    <w:p w14:paraId="4FE62147" w14:textId="3D2BE927" w:rsidR="00E50F43" w:rsidRPr="00E50F43" w:rsidRDefault="00E50F43" w:rsidP="00E50F43">
      <w:pPr>
        <w:rPr>
          <w:bCs/>
        </w:rPr>
      </w:pPr>
      <w:r w:rsidRPr="00E50F43">
        <w:rPr>
          <w:bCs/>
        </w:rPr>
        <w:t>Suzannah Powers</w:t>
      </w:r>
      <w:r w:rsidR="00F63B0D">
        <w:rPr>
          <w:bCs/>
        </w:rPr>
        <w:t>, Governing Body</w:t>
      </w:r>
      <w:r w:rsidRPr="00E50F43">
        <w:rPr>
          <w:bCs/>
        </w:rPr>
        <w:t xml:space="preserve"> – SP</w:t>
      </w:r>
    </w:p>
    <w:p w14:paraId="4A976DBE" w14:textId="6E2767C3" w:rsidR="00E50F43" w:rsidRPr="00E50F43" w:rsidRDefault="00E50F43" w:rsidP="00E50F43">
      <w:pPr>
        <w:rPr>
          <w:bCs/>
        </w:rPr>
      </w:pPr>
      <w:r w:rsidRPr="00E50F43">
        <w:rPr>
          <w:bCs/>
        </w:rPr>
        <w:t>Caroline Mellers</w:t>
      </w:r>
      <w:r w:rsidR="00F63B0D">
        <w:rPr>
          <w:bCs/>
        </w:rPr>
        <w:t>,</w:t>
      </w:r>
      <w:r w:rsidR="00F63B0D" w:rsidRPr="00F63B0D">
        <w:rPr>
          <w:rFonts w:ascii="Arial" w:hAnsi="Arial" w:cs="Arial"/>
          <w:bCs/>
        </w:rPr>
        <w:t xml:space="preserve"> </w:t>
      </w:r>
      <w:r w:rsidR="00F63B0D" w:rsidRPr="00694EBF">
        <w:rPr>
          <w:rFonts w:ascii="Arial" w:hAnsi="Arial" w:cs="Arial"/>
          <w:bCs/>
        </w:rPr>
        <w:t>Crisis Work stream Lead</w:t>
      </w:r>
      <w:r w:rsidRPr="00E50F43">
        <w:rPr>
          <w:bCs/>
        </w:rPr>
        <w:t xml:space="preserve"> – CM</w:t>
      </w:r>
    </w:p>
    <w:p w14:paraId="2E5A00C5" w14:textId="0AD45582" w:rsidR="00E50F43" w:rsidRPr="00E50F43" w:rsidRDefault="00E50F43" w:rsidP="00E50F43">
      <w:pPr>
        <w:rPr>
          <w:bCs/>
        </w:rPr>
      </w:pPr>
      <w:r w:rsidRPr="00E50F43">
        <w:rPr>
          <w:bCs/>
        </w:rPr>
        <w:t>Lucy Baker</w:t>
      </w:r>
      <w:r w:rsidR="00F63B0D">
        <w:rPr>
          <w:bCs/>
        </w:rPr>
        <w:t>,</w:t>
      </w:r>
      <w:r w:rsidR="00F63B0D" w:rsidRPr="00F63B0D">
        <w:rPr>
          <w:rFonts w:ascii="Arial" w:hAnsi="Arial" w:cs="Arial"/>
        </w:rPr>
        <w:t xml:space="preserve"> </w:t>
      </w:r>
      <w:r w:rsidR="00F63B0D" w:rsidRPr="00F94B1E">
        <w:rPr>
          <w:rFonts w:ascii="Arial" w:hAnsi="Arial" w:cs="Arial"/>
        </w:rPr>
        <w:t>Director of Service Delivery</w:t>
      </w:r>
      <w:r w:rsidRPr="00E50F43">
        <w:rPr>
          <w:bCs/>
        </w:rPr>
        <w:t xml:space="preserve"> – LB</w:t>
      </w:r>
    </w:p>
    <w:p w14:paraId="4DDC4AE0" w14:textId="0C413F20" w:rsidR="00E50F43" w:rsidRPr="00E50F43" w:rsidRDefault="00E50F43" w:rsidP="00E50F43">
      <w:pPr>
        <w:rPr>
          <w:bCs/>
        </w:rPr>
      </w:pPr>
      <w:r w:rsidRPr="00E50F43">
        <w:rPr>
          <w:bCs/>
        </w:rPr>
        <w:t>Julian Kirby</w:t>
      </w:r>
      <w:r w:rsidR="00F63B0D">
        <w:rPr>
          <w:bCs/>
        </w:rPr>
        <w:t>,</w:t>
      </w:r>
      <w:r w:rsidR="00F63B0D" w:rsidRPr="00F63B0D">
        <w:rPr>
          <w:rStyle w:val="EAMultilevelList"/>
          <w:bCs/>
          <w:color w:val="000000"/>
          <w:sz w:val="27"/>
          <w:szCs w:val="27"/>
        </w:rPr>
        <w:t xml:space="preserve"> </w:t>
      </w:r>
      <w:r w:rsidR="00F63B0D" w:rsidRPr="00F63B0D">
        <w:rPr>
          <w:rStyle w:val="Strong"/>
          <w:b w:val="0"/>
          <w:bCs w:val="0"/>
          <w:color w:val="000000"/>
        </w:rPr>
        <w:t>Lay Member for Patient and Public Engagement</w:t>
      </w:r>
      <w:r w:rsidRPr="00E50F43">
        <w:rPr>
          <w:bCs/>
        </w:rPr>
        <w:t xml:space="preserve"> – JK</w:t>
      </w:r>
    </w:p>
    <w:p w14:paraId="7EBBCFDD" w14:textId="77777777" w:rsidR="00E50F43" w:rsidRPr="005F14E3" w:rsidRDefault="00E50F43" w:rsidP="00E50F43">
      <w:pPr>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9317"/>
      </w:tblGrid>
      <w:tr w:rsidR="00E50F43" w14:paraId="273FD212" w14:textId="77777777" w:rsidTr="00E50F43">
        <w:tc>
          <w:tcPr>
            <w:tcW w:w="534" w:type="dxa"/>
          </w:tcPr>
          <w:p w14:paraId="0B67FF3C" w14:textId="52F893BB" w:rsidR="00E50F43" w:rsidRDefault="00E50F43" w:rsidP="00E50F43">
            <w:pPr>
              <w:rPr>
                <w:b/>
              </w:rPr>
            </w:pPr>
            <w:r>
              <w:rPr>
                <w:b/>
              </w:rPr>
              <w:t>Q1</w:t>
            </w:r>
          </w:p>
        </w:tc>
        <w:tc>
          <w:tcPr>
            <w:tcW w:w="9320" w:type="dxa"/>
          </w:tcPr>
          <w:p w14:paraId="5BE43119" w14:textId="1068648A" w:rsidR="00E50F43" w:rsidRDefault="00E50F43" w:rsidP="00E50F43">
            <w:pPr>
              <w:rPr>
                <w:b/>
              </w:rPr>
            </w:pPr>
            <w:r w:rsidRPr="0014648E">
              <w:rPr>
                <w:b/>
              </w:rPr>
              <w:t xml:space="preserve">How confident are we at meeting </w:t>
            </w:r>
            <w:r w:rsidR="005D33D9">
              <w:rPr>
                <w:b/>
              </w:rPr>
              <w:t>the</w:t>
            </w:r>
            <w:r w:rsidRPr="0014648E">
              <w:rPr>
                <w:b/>
              </w:rPr>
              <w:t xml:space="preserve"> 2021 target of delivering a single view patient file that work across all areas of the health system?</w:t>
            </w:r>
          </w:p>
          <w:p w14:paraId="2FB754E0" w14:textId="77777777" w:rsidR="00E50F43" w:rsidRDefault="00E50F43" w:rsidP="00E50F43">
            <w:pPr>
              <w:rPr>
                <w:b/>
              </w:rPr>
            </w:pPr>
          </w:p>
        </w:tc>
      </w:tr>
      <w:tr w:rsidR="00E50F43" w14:paraId="48AF00CC" w14:textId="77777777" w:rsidTr="00E50F43">
        <w:tc>
          <w:tcPr>
            <w:tcW w:w="534" w:type="dxa"/>
          </w:tcPr>
          <w:p w14:paraId="566AB4F6" w14:textId="5C3C6ED6" w:rsidR="00E50F43" w:rsidRPr="00E50F43" w:rsidRDefault="00E50F43" w:rsidP="00E50F43">
            <w:pPr>
              <w:rPr>
                <w:bCs/>
              </w:rPr>
            </w:pPr>
            <w:r w:rsidRPr="00E50F43">
              <w:rPr>
                <w:bCs/>
              </w:rPr>
              <w:t>A</w:t>
            </w:r>
          </w:p>
        </w:tc>
        <w:tc>
          <w:tcPr>
            <w:tcW w:w="9320" w:type="dxa"/>
          </w:tcPr>
          <w:p w14:paraId="1574E3E1" w14:textId="396A87D0" w:rsidR="00E50F43" w:rsidRPr="00E50F43" w:rsidRDefault="00E50F43" w:rsidP="00E50F43">
            <w:pPr>
              <w:rPr>
                <w:bCs/>
                <w:u w:val="single"/>
              </w:rPr>
            </w:pPr>
            <w:r w:rsidRPr="00E50F43">
              <w:rPr>
                <w:bCs/>
                <w:u w:val="single"/>
              </w:rPr>
              <w:t>Answer</w:t>
            </w:r>
            <w:r>
              <w:rPr>
                <w:bCs/>
                <w:u w:val="single"/>
              </w:rPr>
              <w:t>:</w:t>
            </w:r>
            <w:r w:rsidRPr="00E50F43">
              <w:rPr>
                <w:bCs/>
                <w:u w:val="single"/>
              </w:rPr>
              <w:t xml:space="preserve"> AG</w:t>
            </w:r>
          </w:p>
          <w:p w14:paraId="3B65511C" w14:textId="38E57E68" w:rsidR="00E50F43" w:rsidRDefault="00E50F43" w:rsidP="00E50F43">
            <w:r>
              <w:t>We are working towards having singular software to have access to all patient information. Such as past medical history and other points of access.</w:t>
            </w:r>
          </w:p>
          <w:p w14:paraId="572F3073" w14:textId="48628F5B" w:rsidR="00E50F43" w:rsidRDefault="00E50F43" w:rsidP="00E50F43"/>
          <w:p w14:paraId="6E78020B" w14:textId="08B0E5F6" w:rsidR="00E50F43" w:rsidRPr="00E50F43" w:rsidRDefault="00202115" w:rsidP="00E50F43">
            <w:pPr>
              <w:rPr>
                <w:u w:val="single"/>
              </w:rPr>
            </w:pPr>
            <w:r w:rsidRPr="00E50F43">
              <w:rPr>
                <w:u w:val="single"/>
              </w:rPr>
              <w:t>Answer</w:t>
            </w:r>
            <w:r w:rsidR="00E50F43">
              <w:rPr>
                <w:u w:val="single"/>
              </w:rPr>
              <w:t>:</w:t>
            </w:r>
            <w:r w:rsidR="00E50F43" w:rsidRPr="00E50F43">
              <w:rPr>
                <w:u w:val="single"/>
              </w:rPr>
              <w:t xml:space="preserve"> TC</w:t>
            </w:r>
          </w:p>
          <w:p w14:paraId="6395D0B1" w14:textId="4F907B8E" w:rsidR="00E50F43" w:rsidRDefault="00E50F43" w:rsidP="00E50F43">
            <w:r>
              <w:t xml:space="preserve">We are using </w:t>
            </w:r>
            <w:r w:rsidRPr="00F63B0D">
              <w:t>Graft net</w:t>
            </w:r>
            <w:r>
              <w:t xml:space="preserve"> as our IT solution of joining up the information we hold about patients across the system. It is it is already up and running across BaNES and the plan is to roll it out to Swindon and Wiltshire. </w:t>
            </w:r>
          </w:p>
          <w:p w14:paraId="74E0D49E" w14:textId="77777777" w:rsidR="00E50F43" w:rsidRDefault="00E50F43" w:rsidP="00E50F43"/>
          <w:p w14:paraId="339BC3D0" w14:textId="77777777" w:rsidR="005D33D9" w:rsidRDefault="00E50F43" w:rsidP="00E50F43">
            <w:r>
              <w:t xml:space="preserve">This is a beneficial tool because we can </w:t>
            </w:r>
            <w:r w:rsidR="005D33D9">
              <w:t>see</w:t>
            </w:r>
            <w:r>
              <w:t xml:space="preserve"> what ha</w:t>
            </w:r>
            <w:r w:rsidR="005D33D9">
              <w:t>s</w:t>
            </w:r>
            <w:r>
              <w:t xml:space="preserve"> happened before for </w:t>
            </w:r>
            <w:r w:rsidR="005D33D9">
              <w:t xml:space="preserve">a </w:t>
            </w:r>
            <w:r>
              <w:t>patient and other services they have accessed. Virgin single point of access hub is a go</w:t>
            </w:r>
            <w:r w:rsidR="005D33D9">
              <w:t>od</w:t>
            </w:r>
            <w:r>
              <w:t xml:space="preserve"> example as they can decide and determine what might be the next course of treatment for the patient. Without it they can </w:t>
            </w:r>
            <w:r w:rsidR="005D33D9">
              <w:t>be</w:t>
            </w:r>
            <w:r>
              <w:t xml:space="preserve"> unsighted o</w:t>
            </w:r>
            <w:r w:rsidR="005D33D9">
              <w:t>n</w:t>
            </w:r>
            <w:r>
              <w:t xml:space="preserve"> the patient’s history</w:t>
            </w:r>
            <w:r w:rsidR="005D33D9">
              <w:t xml:space="preserve">. </w:t>
            </w:r>
          </w:p>
          <w:p w14:paraId="02EA7ACD" w14:textId="77777777" w:rsidR="005D33D9" w:rsidRDefault="005D33D9" w:rsidP="00E50F43"/>
          <w:p w14:paraId="630B48CD" w14:textId="5C86AF93" w:rsidR="00E50F43" w:rsidRDefault="005D33D9" w:rsidP="00E50F43">
            <w:pPr>
              <w:rPr>
                <w:b/>
              </w:rPr>
            </w:pPr>
            <w:r>
              <w:t>W</w:t>
            </w:r>
            <w:r w:rsidR="00E50F43">
              <w:t xml:space="preserve">e do have a plan to roll </w:t>
            </w:r>
            <w:r>
              <w:t xml:space="preserve">this </w:t>
            </w:r>
            <w:r w:rsidR="00E50F43">
              <w:t xml:space="preserve">out across BSW. </w:t>
            </w:r>
          </w:p>
          <w:p w14:paraId="56AD1297" w14:textId="4056F53F" w:rsidR="00E50F43" w:rsidRDefault="00E50F43" w:rsidP="00E50F43">
            <w:pPr>
              <w:rPr>
                <w:b/>
              </w:rPr>
            </w:pPr>
          </w:p>
        </w:tc>
      </w:tr>
    </w:tbl>
    <w:p w14:paraId="7D0A488D" w14:textId="77777777" w:rsidR="00E50F43" w:rsidRDefault="00E50F43" w:rsidP="00E50F43">
      <w:pPr>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9317"/>
      </w:tblGrid>
      <w:tr w:rsidR="00E50F43" w14:paraId="1BDFD2FE" w14:textId="77777777" w:rsidTr="00E50F43">
        <w:tc>
          <w:tcPr>
            <w:tcW w:w="534" w:type="dxa"/>
          </w:tcPr>
          <w:p w14:paraId="1FCBA6B7" w14:textId="5D6876D8" w:rsidR="00E50F43" w:rsidRPr="00E50F43" w:rsidRDefault="00E50F43" w:rsidP="00E50F43">
            <w:pPr>
              <w:rPr>
                <w:b/>
              </w:rPr>
            </w:pPr>
            <w:r w:rsidRPr="00E50F43">
              <w:rPr>
                <w:b/>
              </w:rPr>
              <w:t>Q</w:t>
            </w:r>
            <w:r>
              <w:rPr>
                <w:b/>
              </w:rPr>
              <w:t>2</w:t>
            </w:r>
          </w:p>
        </w:tc>
        <w:tc>
          <w:tcPr>
            <w:tcW w:w="9320" w:type="dxa"/>
          </w:tcPr>
          <w:p w14:paraId="5743944C" w14:textId="77777777" w:rsidR="00E50F43" w:rsidRDefault="00E50F43" w:rsidP="00E50F43">
            <w:pPr>
              <w:rPr>
                <w:b/>
              </w:rPr>
            </w:pPr>
            <w:r w:rsidRPr="0014648E">
              <w:rPr>
                <w:b/>
              </w:rPr>
              <w:t>CCG running costs per sector could they or will they be reduced by the merger?</w:t>
            </w:r>
          </w:p>
          <w:p w14:paraId="62C78901" w14:textId="61B426DB" w:rsidR="00E50F43" w:rsidRDefault="00E50F43" w:rsidP="00E50F43">
            <w:pPr>
              <w:rPr>
                <w:bCs/>
              </w:rPr>
            </w:pPr>
          </w:p>
        </w:tc>
      </w:tr>
      <w:tr w:rsidR="00E50F43" w14:paraId="0C525B01" w14:textId="77777777" w:rsidTr="00E50F43">
        <w:tc>
          <w:tcPr>
            <w:tcW w:w="534" w:type="dxa"/>
          </w:tcPr>
          <w:p w14:paraId="74AE15C3" w14:textId="53E07605" w:rsidR="00E50F43" w:rsidRDefault="00E50F43" w:rsidP="00E50F43">
            <w:pPr>
              <w:rPr>
                <w:bCs/>
              </w:rPr>
            </w:pPr>
            <w:r>
              <w:rPr>
                <w:bCs/>
              </w:rPr>
              <w:t>A</w:t>
            </w:r>
          </w:p>
        </w:tc>
        <w:tc>
          <w:tcPr>
            <w:tcW w:w="9320" w:type="dxa"/>
          </w:tcPr>
          <w:p w14:paraId="5898EA7D" w14:textId="77777777" w:rsidR="00E50F43" w:rsidRPr="00E50F43" w:rsidRDefault="00E50F43" w:rsidP="00E50F43">
            <w:pPr>
              <w:rPr>
                <w:bCs/>
                <w:u w:val="single"/>
              </w:rPr>
            </w:pPr>
            <w:r w:rsidRPr="00E50F43">
              <w:rPr>
                <w:bCs/>
                <w:u w:val="single"/>
              </w:rPr>
              <w:t>Answer: CG</w:t>
            </w:r>
          </w:p>
          <w:p w14:paraId="182907C9" w14:textId="5B5EC158" w:rsidR="00E50F43" w:rsidRDefault="00E50F43" w:rsidP="00E50F43">
            <w:r>
              <w:t xml:space="preserve">There </w:t>
            </w:r>
            <w:r w:rsidR="005D33D9">
              <w:t xml:space="preserve">is a </w:t>
            </w:r>
            <w:r>
              <w:t>national expectation to reduce costs by 20%. As a result of merging and utilising our resources we will be making savings on the running of the organisation.</w:t>
            </w:r>
          </w:p>
          <w:p w14:paraId="5585E295" w14:textId="319C69F0" w:rsidR="00E50F43" w:rsidRDefault="00E50F43" w:rsidP="00E50F43">
            <w:pPr>
              <w:rPr>
                <w:bCs/>
              </w:rPr>
            </w:pPr>
          </w:p>
        </w:tc>
      </w:tr>
    </w:tbl>
    <w:p w14:paraId="056CB7DC" w14:textId="2C1ED048" w:rsidR="00E50F43" w:rsidRPr="00E50F43" w:rsidRDefault="00E50F43" w:rsidP="00E50F43">
      <w:pPr>
        <w:rPr>
          <w:bC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9317"/>
      </w:tblGrid>
      <w:tr w:rsidR="00E50F43" w14:paraId="6ABEC0EB" w14:textId="77777777" w:rsidTr="005E0766">
        <w:tc>
          <w:tcPr>
            <w:tcW w:w="534" w:type="dxa"/>
          </w:tcPr>
          <w:p w14:paraId="0B3B75A0" w14:textId="622CF5FC" w:rsidR="00E50F43" w:rsidRPr="00E50F43" w:rsidRDefault="00E50F43" w:rsidP="005E0766">
            <w:pPr>
              <w:rPr>
                <w:b/>
              </w:rPr>
            </w:pPr>
            <w:r w:rsidRPr="00E50F43">
              <w:rPr>
                <w:b/>
              </w:rPr>
              <w:t>Q</w:t>
            </w:r>
            <w:r>
              <w:rPr>
                <w:b/>
              </w:rPr>
              <w:t>3</w:t>
            </w:r>
          </w:p>
        </w:tc>
        <w:tc>
          <w:tcPr>
            <w:tcW w:w="9320" w:type="dxa"/>
          </w:tcPr>
          <w:p w14:paraId="1172C835" w14:textId="77777777" w:rsidR="00E50F43" w:rsidRDefault="00E50F43" w:rsidP="005E0766">
            <w:pPr>
              <w:rPr>
                <w:b/>
              </w:rPr>
            </w:pPr>
            <w:r w:rsidRPr="0014648E">
              <w:rPr>
                <w:b/>
              </w:rPr>
              <w:t>Why is there a differential on the amount per patient in the different sectors?</w:t>
            </w:r>
          </w:p>
          <w:p w14:paraId="031C2B88" w14:textId="71E5A188" w:rsidR="00E50F43" w:rsidRDefault="00E50F43" w:rsidP="005E0766">
            <w:pPr>
              <w:rPr>
                <w:bCs/>
              </w:rPr>
            </w:pPr>
          </w:p>
        </w:tc>
      </w:tr>
      <w:tr w:rsidR="00E50F43" w14:paraId="05064A99" w14:textId="77777777" w:rsidTr="005E0766">
        <w:tc>
          <w:tcPr>
            <w:tcW w:w="534" w:type="dxa"/>
          </w:tcPr>
          <w:p w14:paraId="32FBE046" w14:textId="77777777" w:rsidR="00E50F43" w:rsidRDefault="00E50F43" w:rsidP="005E0766">
            <w:pPr>
              <w:rPr>
                <w:bCs/>
              </w:rPr>
            </w:pPr>
            <w:r>
              <w:rPr>
                <w:bCs/>
              </w:rPr>
              <w:lastRenderedPageBreak/>
              <w:t>A</w:t>
            </w:r>
          </w:p>
        </w:tc>
        <w:tc>
          <w:tcPr>
            <w:tcW w:w="9320" w:type="dxa"/>
          </w:tcPr>
          <w:p w14:paraId="6B2C0D1C" w14:textId="5912D4EF" w:rsidR="00E50F43" w:rsidRPr="00E50F43" w:rsidRDefault="00E50F43" w:rsidP="005E0766">
            <w:pPr>
              <w:rPr>
                <w:bCs/>
                <w:u w:val="single"/>
              </w:rPr>
            </w:pPr>
            <w:r w:rsidRPr="00E50F43">
              <w:rPr>
                <w:bCs/>
                <w:u w:val="single"/>
              </w:rPr>
              <w:t>Answer: CG</w:t>
            </w:r>
          </w:p>
          <w:p w14:paraId="671782A5" w14:textId="02D9795D" w:rsidR="00E50F43" w:rsidRDefault="00E50F43" w:rsidP="00E50F43">
            <w:r>
              <w:t xml:space="preserve">Each organisation </w:t>
            </w:r>
            <w:r w:rsidR="005D33D9">
              <w:t>h</w:t>
            </w:r>
            <w:r>
              <w:t xml:space="preserve">as a target based on what nationally they perceive to be their local population.  This is based on age, gender, how they live and other determinants. Wiltshire for example, because of the nature of its population is predominantly rural. Their health costs are deemed higher than Swindon and BaNES. Proportionally they are expecting to be spending more on </w:t>
            </w:r>
            <w:proofErr w:type="gramStart"/>
            <w:r>
              <w:t>their per</w:t>
            </w:r>
            <w:proofErr w:type="gramEnd"/>
            <w:r>
              <w:t xml:space="preserve"> head of population.</w:t>
            </w:r>
          </w:p>
          <w:p w14:paraId="03D7B34D" w14:textId="0B6635D6" w:rsidR="00E50F43" w:rsidRDefault="00E50F43" w:rsidP="005E0766">
            <w:pPr>
              <w:rPr>
                <w:bCs/>
              </w:rPr>
            </w:pPr>
          </w:p>
        </w:tc>
      </w:tr>
    </w:tbl>
    <w:p w14:paraId="76D03534" w14:textId="2C960F17" w:rsidR="00E50F43" w:rsidRDefault="00E50F43"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9317"/>
      </w:tblGrid>
      <w:tr w:rsidR="00E50F43" w14:paraId="305A534C" w14:textId="77777777" w:rsidTr="005E0766">
        <w:tc>
          <w:tcPr>
            <w:tcW w:w="534" w:type="dxa"/>
          </w:tcPr>
          <w:p w14:paraId="6E4A2660" w14:textId="4F7CE715" w:rsidR="00E50F43" w:rsidRPr="00E50F43" w:rsidRDefault="00E50F43" w:rsidP="005E0766">
            <w:pPr>
              <w:rPr>
                <w:b/>
              </w:rPr>
            </w:pPr>
            <w:r w:rsidRPr="00E50F43">
              <w:rPr>
                <w:b/>
              </w:rPr>
              <w:t>Q</w:t>
            </w:r>
            <w:r>
              <w:rPr>
                <w:b/>
              </w:rPr>
              <w:t>4</w:t>
            </w:r>
          </w:p>
        </w:tc>
        <w:tc>
          <w:tcPr>
            <w:tcW w:w="9320" w:type="dxa"/>
          </w:tcPr>
          <w:p w14:paraId="74789310" w14:textId="1657BF13" w:rsidR="00B53361" w:rsidRPr="0014648E" w:rsidRDefault="00B53361" w:rsidP="00B53361">
            <w:pPr>
              <w:rPr>
                <w:b/>
              </w:rPr>
            </w:pPr>
            <w:r>
              <w:rPr>
                <w:b/>
              </w:rPr>
              <w:t>I</w:t>
            </w:r>
            <w:r w:rsidRPr="0014648E">
              <w:rPr>
                <w:b/>
              </w:rPr>
              <w:t xml:space="preserve">n Swindon Borough they are spending 80% of </w:t>
            </w:r>
            <w:r>
              <w:rPr>
                <w:b/>
              </w:rPr>
              <w:t xml:space="preserve">their </w:t>
            </w:r>
            <w:r w:rsidRPr="0014648E">
              <w:rPr>
                <w:b/>
              </w:rPr>
              <w:t>finance on adult social care. We are an aging population in Swindon</w:t>
            </w:r>
            <w:r>
              <w:rPr>
                <w:b/>
              </w:rPr>
              <w:t>,</w:t>
            </w:r>
            <w:r w:rsidRPr="0014648E">
              <w:rPr>
                <w:b/>
              </w:rPr>
              <w:t xml:space="preserve"> so I still don’t understand the differential.</w:t>
            </w:r>
          </w:p>
          <w:p w14:paraId="2DAF1235" w14:textId="77777777" w:rsidR="00E50F43" w:rsidRDefault="00E50F43" w:rsidP="005E0766">
            <w:pPr>
              <w:rPr>
                <w:bCs/>
              </w:rPr>
            </w:pPr>
          </w:p>
        </w:tc>
      </w:tr>
      <w:tr w:rsidR="00E50F43" w14:paraId="4E0C2034" w14:textId="77777777" w:rsidTr="005E0766">
        <w:tc>
          <w:tcPr>
            <w:tcW w:w="534" w:type="dxa"/>
          </w:tcPr>
          <w:p w14:paraId="143A4E7F" w14:textId="77777777" w:rsidR="00E50F43" w:rsidRDefault="00E50F43" w:rsidP="005E0766">
            <w:pPr>
              <w:rPr>
                <w:bCs/>
              </w:rPr>
            </w:pPr>
            <w:r>
              <w:rPr>
                <w:bCs/>
              </w:rPr>
              <w:t>A</w:t>
            </w:r>
          </w:p>
        </w:tc>
        <w:tc>
          <w:tcPr>
            <w:tcW w:w="9320" w:type="dxa"/>
          </w:tcPr>
          <w:p w14:paraId="14D2927F" w14:textId="77777777" w:rsidR="00B53361" w:rsidRPr="00E50F43" w:rsidRDefault="00B53361" w:rsidP="00B53361">
            <w:pPr>
              <w:rPr>
                <w:bCs/>
                <w:u w:val="single"/>
              </w:rPr>
            </w:pPr>
            <w:r w:rsidRPr="00E50F43">
              <w:rPr>
                <w:bCs/>
                <w:u w:val="single"/>
              </w:rPr>
              <w:t>Answer: CG</w:t>
            </w:r>
          </w:p>
          <w:p w14:paraId="69C81B7B" w14:textId="0C80AE1D" w:rsidR="00B53361" w:rsidRDefault="00B53361" w:rsidP="00B53361">
            <w:r>
              <w:t xml:space="preserve">They take </w:t>
            </w:r>
            <w:r w:rsidR="00202115">
              <w:t>several</w:t>
            </w:r>
            <w:r>
              <w:t xml:space="preserve"> factors into account based on a national formula – age, gender and other demographical factors such as deprivation and rurality and </w:t>
            </w:r>
            <w:r w:rsidR="00202115">
              <w:t>all</w:t>
            </w:r>
            <w:r>
              <w:t xml:space="preserve"> those factors are weighted.</w:t>
            </w:r>
          </w:p>
          <w:p w14:paraId="1BE22758" w14:textId="77777777" w:rsidR="00E50F43" w:rsidRDefault="00E50F43" w:rsidP="005E0766">
            <w:pPr>
              <w:rPr>
                <w:bCs/>
              </w:rPr>
            </w:pPr>
          </w:p>
        </w:tc>
      </w:tr>
    </w:tbl>
    <w:p w14:paraId="5D73F535" w14:textId="4492DB14" w:rsidR="00E50F43" w:rsidRDefault="00E50F43"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9317"/>
      </w:tblGrid>
      <w:tr w:rsidR="00E50F43" w14:paraId="28F2D818" w14:textId="77777777" w:rsidTr="005E0766">
        <w:tc>
          <w:tcPr>
            <w:tcW w:w="534" w:type="dxa"/>
          </w:tcPr>
          <w:p w14:paraId="72AF3DD9" w14:textId="73C305EF" w:rsidR="00E50F43" w:rsidRPr="00E50F43" w:rsidRDefault="00E50F43" w:rsidP="005E0766">
            <w:pPr>
              <w:rPr>
                <w:b/>
              </w:rPr>
            </w:pPr>
            <w:r w:rsidRPr="00E50F43">
              <w:rPr>
                <w:b/>
              </w:rPr>
              <w:t>Q</w:t>
            </w:r>
            <w:r w:rsidR="00B53361">
              <w:rPr>
                <w:b/>
              </w:rPr>
              <w:t>5</w:t>
            </w:r>
          </w:p>
        </w:tc>
        <w:tc>
          <w:tcPr>
            <w:tcW w:w="9320" w:type="dxa"/>
          </w:tcPr>
          <w:p w14:paraId="22112949" w14:textId="41A21EF2" w:rsidR="00B53361" w:rsidRPr="0014648E" w:rsidRDefault="00B53361" w:rsidP="00B53361">
            <w:pPr>
              <w:rPr>
                <w:b/>
              </w:rPr>
            </w:pPr>
            <w:r w:rsidRPr="00B53361">
              <w:rPr>
                <w:b/>
                <w:bCs/>
              </w:rPr>
              <w:t xml:space="preserve">Improvement </w:t>
            </w:r>
            <w:r w:rsidRPr="0014648E">
              <w:rPr>
                <w:b/>
              </w:rPr>
              <w:t>in IMH and getting rid of them</w:t>
            </w:r>
            <w:r w:rsidR="005D33D9">
              <w:rPr>
                <w:b/>
              </w:rPr>
              <w:t xml:space="preserve"> - </w:t>
            </w:r>
            <w:r w:rsidRPr="0014648E">
              <w:rPr>
                <w:b/>
              </w:rPr>
              <w:t xml:space="preserve">I am a patient at </w:t>
            </w:r>
            <w:proofErr w:type="spellStart"/>
            <w:r w:rsidR="00202115" w:rsidRPr="0014648E">
              <w:rPr>
                <w:b/>
              </w:rPr>
              <w:t>M</w:t>
            </w:r>
            <w:r w:rsidR="005D33D9">
              <w:rPr>
                <w:b/>
              </w:rPr>
              <w:t>oredon</w:t>
            </w:r>
            <w:proofErr w:type="spellEnd"/>
            <w:r w:rsidR="005D33D9">
              <w:rPr>
                <w:b/>
              </w:rPr>
              <w:t xml:space="preserve"> Medical Centre</w:t>
            </w:r>
            <w:r w:rsidR="00202115" w:rsidRPr="0014648E">
              <w:rPr>
                <w:b/>
              </w:rPr>
              <w:t>,</w:t>
            </w:r>
            <w:r w:rsidRPr="0014648E">
              <w:rPr>
                <w:b/>
              </w:rPr>
              <w:t xml:space="preserve"> and it is going to take 6 weeks to get a medical review. </w:t>
            </w:r>
            <w:r w:rsidR="00202115" w:rsidRPr="0014648E">
              <w:rPr>
                <w:b/>
              </w:rPr>
              <w:t>So,</w:t>
            </w:r>
            <w:r w:rsidRPr="0014648E">
              <w:rPr>
                <w:b/>
              </w:rPr>
              <w:t xml:space="preserve"> we are not out of the fire yet. It is a terrible situation to wait 6 weeks. </w:t>
            </w:r>
            <w:proofErr w:type="spellStart"/>
            <w:r w:rsidRPr="0014648E">
              <w:rPr>
                <w:b/>
              </w:rPr>
              <w:t>M</w:t>
            </w:r>
            <w:r w:rsidR="005D33D9">
              <w:rPr>
                <w:b/>
              </w:rPr>
              <w:t>oredon</w:t>
            </w:r>
            <w:proofErr w:type="spellEnd"/>
            <w:r w:rsidRPr="0014648E">
              <w:rPr>
                <w:b/>
              </w:rPr>
              <w:t xml:space="preserve"> is not very good at all</w:t>
            </w:r>
          </w:p>
          <w:p w14:paraId="47E4A09F" w14:textId="77777777" w:rsidR="00E50F43" w:rsidRDefault="00E50F43" w:rsidP="005E0766">
            <w:pPr>
              <w:rPr>
                <w:bCs/>
              </w:rPr>
            </w:pPr>
          </w:p>
        </w:tc>
      </w:tr>
      <w:tr w:rsidR="00E50F43" w14:paraId="4F356BFF" w14:textId="77777777" w:rsidTr="005E0766">
        <w:tc>
          <w:tcPr>
            <w:tcW w:w="534" w:type="dxa"/>
          </w:tcPr>
          <w:p w14:paraId="0758CC84" w14:textId="77777777" w:rsidR="00E50F43" w:rsidRDefault="00E50F43" w:rsidP="005E0766">
            <w:pPr>
              <w:rPr>
                <w:bCs/>
              </w:rPr>
            </w:pPr>
            <w:r>
              <w:rPr>
                <w:bCs/>
              </w:rPr>
              <w:t>A</w:t>
            </w:r>
          </w:p>
        </w:tc>
        <w:tc>
          <w:tcPr>
            <w:tcW w:w="9320" w:type="dxa"/>
          </w:tcPr>
          <w:p w14:paraId="2FCED7D4" w14:textId="77777777" w:rsidR="00E50F43" w:rsidRPr="00B53361" w:rsidRDefault="00B53361" w:rsidP="005E0766">
            <w:pPr>
              <w:rPr>
                <w:bCs/>
                <w:u w:val="single"/>
              </w:rPr>
            </w:pPr>
            <w:r w:rsidRPr="00B53361">
              <w:rPr>
                <w:bCs/>
                <w:u w:val="single"/>
              </w:rPr>
              <w:t>Answer: TC</w:t>
            </w:r>
          </w:p>
          <w:p w14:paraId="2D3AA660" w14:textId="5087995A" w:rsidR="00B53361" w:rsidRDefault="00B53361" w:rsidP="00B53361">
            <w:r>
              <w:t>Thank you for that feedback. I do acknowledge we have more work to do such as getting more permanent staff to increase availability; it is still a critical area of focus for us</w:t>
            </w:r>
            <w:r w:rsidR="005D33D9">
              <w:t xml:space="preserve"> and w</w:t>
            </w:r>
            <w:r>
              <w:t>e are working very closely with the practice on that.</w:t>
            </w:r>
          </w:p>
          <w:p w14:paraId="74AA957A" w14:textId="5A8B5F2B" w:rsidR="00B53361" w:rsidRDefault="00B53361" w:rsidP="005E0766">
            <w:pPr>
              <w:rPr>
                <w:bCs/>
              </w:rPr>
            </w:pPr>
          </w:p>
        </w:tc>
      </w:tr>
    </w:tbl>
    <w:p w14:paraId="1030A416" w14:textId="3513A381" w:rsidR="00B53361" w:rsidRDefault="00B53361"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9317"/>
      </w:tblGrid>
      <w:tr w:rsidR="00B53361" w14:paraId="7E27DBA0" w14:textId="77777777" w:rsidTr="005E0766">
        <w:tc>
          <w:tcPr>
            <w:tcW w:w="534" w:type="dxa"/>
          </w:tcPr>
          <w:p w14:paraId="633E9004" w14:textId="0C3D9FC7" w:rsidR="00B53361" w:rsidRPr="00E50F43" w:rsidRDefault="00B53361" w:rsidP="005E0766">
            <w:pPr>
              <w:rPr>
                <w:b/>
              </w:rPr>
            </w:pPr>
            <w:r w:rsidRPr="00E50F43">
              <w:rPr>
                <w:b/>
              </w:rPr>
              <w:t>Q</w:t>
            </w:r>
            <w:r>
              <w:rPr>
                <w:b/>
              </w:rPr>
              <w:t>6</w:t>
            </w:r>
          </w:p>
        </w:tc>
        <w:tc>
          <w:tcPr>
            <w:tcW w:w="9320" w:type="dxa"/>
          </w:tcPr>
          <w:p w14:paraId="0ACDBFF9" w14:textId="77777777" w:rsidR="00B53361" w:rsidRPr="00B53361" w:rsidRDefault="00B53361" w:rsidP="00B53361">
            <w:pPr>
              <w:rPr>
                <w:b/>
                <w:bCs/>
              </w:rPr>
            </w:pPr>
            <w:r w:rsidRPr="00B53361">
              <w:rPr>
                <w:b/>
                <w:bCs/>
              </w:rPr>
              <w:t>Repeat prescriptions in Swindon – why haven’t we moved to a digital platform across the CCG?</w:t>
            </w:r>
          </w:p>
          <w:p w14:paraId="7227DBCA" w14:textId="77777777" w:rsidR="00B53361" w:rsidRDefault="00B53361" w:rsidP="005E0766">
            <w:pPr>
              <w:rPr>
                <w:bCs/>
              </w:rPr>
            </w:pPr>
          </w:p>
        </w:tc>
      </w:tr>
      <w:tr w:rsidR="00B53361" w14:paraId="4EFA4F5A" w14:textId="77777777" w:rsidTr="005E0766">
        <w:tc>
          <w:tcPr>
            <w:tcW w:w="534" w:type="dxa"/>
          </w:tcPr>
          <w:p w14:paraId="5A218415" w14:textId="77777777" w:rsidR="00B53361" w:rsidRDefault="00B53361" w:rsidP="005E0766">
            <w:pPr>
              <w:rPr>
                <w:bCs/>
              </w:rPr>
            </w:pPr>
            <w:r>
              <w:rPr>
                <w:bCs/>
              </w:rPr>
              <w:t>A</w:t>
            </w:r>
          </w:p>
        </w:tc>
        <w:tc>
          <w:tcPr>
            <w:tcW w:w="9320" w:type="dxa"/>
          </w:tcPr>
          <w:p w14:paraId="3C584189" w14:textId="77777777" w:rsidR="00B53361" w:rsidRPr="00B53361" w:rsidRDefault="00B53361" w:rsidP="005E0766">
            <w:pPr>
              <w:rPr>
                <w:bCs/>
                <w:u w:val="single"/>
              </w:rPr>
            </w:pPr>
            <w:r w:rsidRPr="00B53361">
              <w:rPr>
                <w:bCs/>
                <w:u w:val="single"/>
              </w:rPr>
              <w:t>Answer: AG</w:t>
            </w:r>
          </w:p>
          <w:p w14:paraId="743469DB" w14:textId="6F8207AD" w:rsidR="00B53361" w:rsidRDefault="00B53361" w:rsidP="00B53361">
            <w:r>
              <w:t xml:space="preserve">We are using </w:t>
            </w:r>
            <w:r w:rsidR="005D33D9">
              <w:t xml:space="preserve">the </w:t>
            </w:r>
            <w:r>
              <w:t>NHS app that allows patients to order repeat prescriptions. There might be a small issue in Swindon with the POD system which doesn’t allow integration into the App</w:t>
            </w:r>
            <w:r w:rsidRPr="00A92994">
              <w:t>. W</w:t>
            </w:r>
            <w:r w:rsidR="005D33D9" w:rsidRPr="00A92994">
              <w:t>e</w:t>
            </w:r>
            <w:r w:rsidRPr="00A92994">
              <w:t xml:space="preserve"> can take that away to look </w:t>
            </w:r>
            <w:r w:rsidR="00202115" w:rsidRPr="00A92994">
              <w:t>at,</w:t>
            </w:r>
            <w:r w:rsidRPr="00A92994">
              <w:t xml:space="preserve"> but we are aiming to be as digitally friendly as possible</w:t>
            </w:r>
            <w:r w:rsidRPr="00F04E8D">
              <w:rPr>
                <w:color w:val="FF0000"/>
              </w:rPr>
              <w:t>.</w:t>
            </w:r>
          </w:p>
          <w:p w14:paraId="52D4F650" w14:textId="2A55E5A9" w:rsidR="00B53361" w:rsidRDefault="00B53361" w:rsidP="005E0766">
            <w:pPr>
              <w:rPr>
                <w:bCs/>
              </w:rPr>
            </w:pPr>
          </w:p>
        </w:tc>
      </w:tr>
    </w:tbl>
    <w:p w14:paraId="4D745897" w14:textId="29D743B9" w:rsidR="00B53361" w:rsidRDefault="00B53361" w:rsidP="00E50F43"/>
    <w:p w14:paraId="424DDA03" w14:textId="3FB17BB5" w:rsidR="00F04E8D" w:rsidRDefault="00F04E8D" w:rsidP="00E50F43"/>
    <w:p w14:paraId="16E3A7B2" w14:textId="36A52272" w:rsidR="00F04E8D" w:rsidRDefault="00F04E8D" w:rsidP="00E50F43"/>
    <w:p w14:paraId="78272D87" w14:textId="120A8424" w:rsidR="00F04E8D" w:rsidRDefault="00F04E8D" w:rsidP="00E50F43"/>
    <w:p w14:paraId="387C025D" w14:textId="77777777" w:rsidR="00F04E8D" w:rsidRDefault="00F04E8D"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9317"/>
      </w:tblGrid>
      <w:tr w:rsidR="00B53361" w14:paraId="66DFA4E9" w14:textId="77777777" w:rsidTr="00B53361">
        <w:tc>
          <w:tcPr>
            <w:tcW w:w="537" w:type="dxa"/>
          </w:tcPr>
          <w:p w14:paraId="72D08B90" w14:textId="19CDF51D" w:rsidR="00B53361" w:rsidRPr="00E50F43" w:rsidRDefault="00B53361" w:rsidP="005E0766">
            <w:pPr>
              <w:rPr>
                <w:b/>
              </w:rPr>
            </w:pPr>
            <w:r w:rsidRPr="00E50F43">
              <w:rPr>
                <w:b/>
              </w:rPr>
              <w:t>Q</w:t>
            </w:r>
            <w:r>
              <w:rPr>
                <w:b/>
              </w:rPr>
              <w:t>7</w:t>
            </w:r>
          </w:p>
        </w:tc>
        <w:tc>
          <w:tcPr>
            <w:tcW w:w="9317" w:type="dxa"/>
          </w:tcPr>
          <w:p w14:paraId="6C6BEAD6" w14:textId="40FF6CD3" w:rsidR="00B53361" w:rsidRPr="00B53361" w:rsidRDefault="00B53361" w:rsidP="00B53361">
            <w:pPr>
              <w:rPr>
                <w:b/>
                <w:bCs/>
              </w:rPr>
            </w:pPr>
            <w:r w:rsidRPr="00B53361">
              <w:rPr>
                <w:b/>
                <w:bCs/>
              </w:rPr>
              <w:t>There remains a serious risk at the end of the implementation period for Brexit.  We are expecting a major interruption to UK national trade</w:t>
            </w:r>
            <w:r w:rsidRPr="00A92994">
              <w:rPr>
                <w:b/>
                <w:bCs/>
              </w:rPr>
              <w:t xml:space="preserve">. What does this </w:t>
            </w:r>
            <w:r w:rsidRPr="00A92994">
              <w:rPr>
                <w:b/>
                <w:bCs/>
              </w:rPr>
              <w:lastRenderedPageBreak/>
              <w:t>mean for staff employed by the NHS, who may have to leave their post and may not be replaced?</w:t>
            </w:r>
            <w:r w:rsidRPr="00B53361">
              <w:rPr>
                <w:b/>
                <w:bCs/>
              </w:rPr>
              <w:t xml:space="preserve"> </w:t>
            </w:r>
            <w:r w:rsidR="00202115" w:rsidRPr="00B53361">
              <w:rPr>
                <w:b/>
                <w:bCs/>
              </w:rPr>
              <w:t>Also,</w:t>
            </w:r>
            <w:r w:rsidRPr="00B53361">
              <w:rPr>
                <w:b/>
                <w:bCs/>
              </w:rPr>
              <w:t xml:space="preserve"> what will be the impact on medical supplies?</w:t>
            </w:r>
          </w:p>
          <w:p w14:paraId="4586FE89" w14:textId="77777777" w:rsidR="00B53361" w:rsidRPr="00B53361" w:rsidRDefault="00B53361" w:rsidP="005E0766">
            <w:pPr>
              <w:rPr>
                <w:b/>
                <w:bCs/>
              </w:rPr>
            </w:pPr>
          </w:p>
        </w:tc>
      </w:tr>
      <w:tr w:rsidR="00B53361" w14:paraId="12561A5A" w14:textId="77777777" w:rsidTr="00B53361">
        <w:tc>
          <w:tcPr>
            <w:tcW w:w="537" w:type="dxa"/>
          </w:tcPr>
          <w:p w14:paraId="2CC66200" w14:textId="77777777" w:rsidR="00B53361" w:rsidRDefault="00B53361" w:rsidP="005E0766">
            <w:pPr>
              <w:rPr>
                <w:bCs/>
              </w:rPr>
            </w:pPr>
            <w:r>
              <w:rPr>
                <w:bCs/>
              </w:rPr>
              <w:lastRenderedPageBreak/>
              <w:t>A</w:t>
            </w:r>
          </w:p>
        </w:tc>
        <w:tc>
          <w:tcPr>
            <w:tcW w:w="9317" w:type="dxa"/>
          </w:tcPr>
          <w:p w14:paraId="6694656B" w14:textId="77777777" w:rsidR="00B53361" w:rsidRPr="00B53361" w:rsidRDefault="00B53361" w:rsidP="005E0766">
            <w:pPr>
              <w:rPr>
                <w:bCs/>
                <w:u w:val="single"/>
              </w:rPr>
            </w:pPr>
            <w:r w:rsidRPr="00B53361">
              <w:rPr>
                <w:bCs/>
                <w:u w:val="single"/>
              </w:rPr>
              <w:t>Answer: AG</w:t>
            </w:r>
          </w:p>
          <w:p w14:paraId="36B8CB94" w14:textId="77777777" w:rsidR="00B53361" w:rsidRPr="00A92994" w:rsidRDefault="00B53361" w:rsidP="00B53361">
            <w:r>
              <w:t xml:space="preserve">I have been reassured our local pharmacy provision hasn’t been affected by any gaps in service provision. There have been some drugs out of supply but that has been a nationwide issue not related to Brexit. In terms of staffing I do not know as we do not commission pharmacy staff.  </w:t>
            </w:r>
            <w:r w:rsidRPr="00A92994">
              <w:t>This is something we can take away.</w:t>
            </w:r>
          </w:p>
          <w:p w14:paraId="51AA6E4B" w14:textId="5307A010" w:rsidR="00B53361" w:rsidRDefault="00B53361" w:rsidP="005E0766">
            <w:pPr>
              <w:rPr>
                <w:bCs/>
              </w:rPr>
            </w:pPr>
          </w:p>
        </w:tc>
      </w:tr>
    </w:tbl>
    <w:p w14:paraId="7216A639" w14:textId="69F3C6ED" w:rsidR="00B53361" w:rsidRDefault="00B53361"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9317"/>
      </w:tblGrid>
      <w:tr w:rsidR="00B53361" w14:paraId="255BA9B0" w14:textId="77777777" w:rsidTr="005E0766">
        <w:tc>
          <w:tcPr>
            <w:tcW w:w="534" w:type="dxa"/>
          </w:tcPr>
          <w:p w14:paraId="5176CC65" w14:textId="6ED41FDC" w:rsidR="00B53361" w:rsidRPr="00E50F43" w:rsidRDefault="00B53361" w:rsidP="005E0766">
            <w:pPr>
              <w:rPr>
                <w:b/>
              </w:rPr>
            </w:pPr>
            <w:r>
              <w:rPr>
                <w:b/>
              </w:rPr>
              <w:t>Q8</w:t>
            </w:r>
          </w:p>
        </w:tc>
        <w:tc>
          <w:tcPr>
            <w:tcW w:w="9320" w:type="dxa"/>
          </w:tcPr>
          <w:p w14:paraId="292686DE" w14:textId="77777777" w:rsidR="00B53361" w:rsidRPr="005F14E3" w:rsidRDefault="00B53361" w:rsidP="00B53361">
            <w:pPr>
              <w:rPr>
                <w:b/>
              </w:rPr>
            </w:pPr>
            <w:r w:rsidRPr="005F14E3">
              <w:rPr>
                <w:b/>
              </w:rPr>
              <w:t>Can you give information on who is responsible for the patient experience plan? Is it purely clinicians or have external bodies been involved?</w:t>
            </w:r>
          </w:p>
          <w:p w14:paraId="7AC9A8BF" w14:textId="77777777" w:rsidR="00B53361" w:rsidRDefault="00B53361" w:rsidP="005E0766">
            <w:pPr>
              <w:rPr>
                <w:bCs/>
              </w:rPr>
            </w:pPr>
          </w:p>
        </w:tc>
      </w:tr>
      <w:tr w:rsidR="00B53361" w14:paraId="73BB288B" w14:textId="77777777" w:rsidTr="005E0766">
        <w:tc>
          <w:tcPr>
            <w:tcW w:w="534" w:type="dxa"/>
          </w:tcPr>
          <w:p w14:paraId="488999FB" w14:textId="4610B329" w:rsidR="00B53361" w:rsidRDefault="00B53361" w:rsidP="005E0766">
            <w:pPr>
              <w:rPr>
                <w:bCs/>
              </w:rPr>
            </w:pPr>
            <w:r>
              <w:rPr>
                <w:bCs/>
              </w:rPr>
              <w:t>A</w:t>
            </w:r>
          </w:p>
        </w:tc>
        <w:tc>
          <w:tcPr>
            <w:tcW w:w="9320" w:type="dxa"/>
          </w:tcPr>
          <w:p w14:paraId="6E2DDC5E" w14:textId="56EDC2C7" w:rsidR="00B53361" w:rsidRPr="00B53361" w:rsidRDefault="00B53361" w:rsidP="005E0766">
            <w:pPr>
              <w:rPr>
                <w:bCs/>
                <w:u w:val="single"/>
              </w:rPr>
            </w:pPr>
            <w:r w:rsidRPr="00B53361">
              <w:rPr>
                <w:bCs/>
                <w:u w:val="single"/>
              </w:rPr>
              <w:t xml:space="preserve">Answer: GM </w:t>
            </w:r>
          </w:p>
          <w:p w14:paraId="7938D8BC" w14:textId="49F54672" w:rsidR="00B53361" w:rsidRDefault="00B53361" w:rsidP="00B53361">
            <w:r>
              <w:t xml:space="preserve">Engagement of patients and the public has been through our forums and Citizen Panel. We do need public and patient </w:t>
            </w:r>
            <w:proofErr w:type="gramStart"/>
            <w:r>
              <w:t>involvement so if you are interested please do</w:t>
            </w:r>
            <w:proofErr w:type="gramEnd"/>
            <w:r>
              <w:t xml:space="preserve"> get in touch. There is also Health</w:t>
            </w:r>
            <w:r w:rsidR="00F04E8D">
              <w:t>w</w:t>
            </w:r>
            <w:r>
              <w:t>atch and they are crucial to this as they have lots of members who can provide insight.</w:t>
            </w:r>
          </w:p>
          <w:p w14:paraId="573DE9CC" w14:textId="77777777" w:rsidR="00B53361" w:rsidRDefault="00B53361" w:rsidP="005E0766">
            <w:pPr>
              <w:rPr>
                <w:bCs/>
              </w:rPr>
            </w:pPr>
          </w:p>
          <w:p w14:paraId="414BE258" w14:textId="77777777" w:rsidR="00B53361" w:rsidRPr="00B53361" w:rsidRDefault="00B53361" w:rsidP="005E0766">
            <w:pPr>
              <w:rPr>
                <w:bCs/>
                <w:u w:val="single"/>
              </w:rPr>
            </w:pPr>
            <w:r w:rsidRPr="00B53361">
              <w:rPr>
                <w:bCs/>
                <w:u w:val="single"/>
              </w:rPr>
              <w:t>Answer: SP</w:t>
            </w:r>
          </w:p>
          <w:p w14:paraId="1DE532F6" w14:textId="68A92983" w:rsidR="00B53361" w:rsidRDefault="00B53361" w:rsidP="00B53361">
            <w:r>
              <w:t>The CCG has gone to extraordinary lengths to offer people the chance to get involved in what we do. We have the Citizen Panel; we also have patient experience groups which operate across the patch in slightly different forms.</w:t>
            </w:r>
          </w:p>
          <w:p w14:paraId="2DDDB752" w14:textId="77777777" w:rsidR="00B53361" w:rsidRDefault="00B53361" w:rsidP="00B53361"/>
          <w:p w14:paraId="7CE0CD7F" w14:textId="77777777" w:rsidR="00B53361" w:rsidRDefault="00B53361" w:rsidP="00B53361">
            <w:r>
              <w:t>There isn’t one system for all that makes sense because there are different patient groups within different needs across our geographical area.</w:t>
            </w:r>
          </w:p>
          <w:p w14:paraId="23D9C083" w14:textId="41966274" w:rsidR="00B53361" w:rsidRDefault="00B53361" w:rsidP="005E0766">
            <w:pPr>
              <w:rPr>
                <w:bCs/>
              </w:rPr>
            </w:pPr>
          </w:p>
        </w:tc>
      </w:tr>
    </w:tbl>
    <w:p w14:paraId="4823536E" w14:textId="0E447AEE" w:rsidR="00B53361" w:rsidRDefault="00B53361"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9317"/>
      </w:tblGrid>
      <w:tr w:rsidR="00B53361" w14:paraId="255CA41E" w14:textId="77777777" w:rsidTr="005E0766">
        <w:tc>
          <w:tcPr>
            <w:tcW w:w="534" w:type="dxa"/>
          </w:tcPr>
          <w:p w14:paraId="44EFFD0B" w14:textId="70D5189C" w:rsidR="00B53361" w:rsidRPr="00E50F43" w:rsidRDefault="00B53361" w:rsidP="005E0766">
            <w:pPr>
              <w:rPr>
                <w:b/>
              </w:rPr>
            </w:pPr>
            <w:r>
              <w:rPr>
                <w:b/>
              </w:rPr>
              <w:t>Q9</w:t>
            </w:r>
          </w:p>
        </w:tc>
        <w:tc>
          <w:tcPr>
            <w:tcW w:w="9320" w:type="dxa"/>
          </w:tcPr>
          <w:p w14:paraId="390349C1" w14:textId="55B8F16E" w:rsidR="00B53361" w:rsidRPr="005F14E3" w:rsidRDefault="00B53361" w:rsidP="00B53361">
            <w:pPr>
              <w:rPr>
                <w:b/>
              </w:rPr>
            </w:pPr>
            <w:r>
              <w:rPr>
                <w:b/>
              </w:rPr>
              <w:t>H</w:t>
            </w:r>
            <w:r w:rsidRPr="005F14E3">
              <w:rPr>
                <w:b/>
              </w:rPr>
              <w:t>ow can we reach the people who feel both physically and metaphorically disconnected. Especially those with mental health who are in a dark place and just don’t know how to find the resources to help?</w:t>
            </w:r>
          </w:p>
          <w:p w14:paraId="45CB5A86" w14:textId="77777777" w:rsidR="00B53361" w:rsidRDefault="00B53361" w:rsidP="005E0766">
            <w:pPr>
              <w:rPr>
                <w:bCs/>
              </w:rPr>
            </w:pPr>
          </w:p>
        </w:tc>
      </w:tr>
      <w:tr w:rsidR="00B53361" w14:paraId="16525002" w14:textId="77777777" w:rsidTr="005E0766">
        <w:tc>
          <w:tcPr>
            <w:tcW w:w="534" w:type="dxa"/>
          </w:tcPr>
          <w:p w14:paraId="6E10D9C7" w14:textId="3312EE7D" w:rsidR="00B53361" w:rsidRDefault="00B53361" w:rsidP="005E0766">
            <w:pPr>
              <w:rPr>
                <w:bCs/>
              </w:rPr>
            </w:pPr>
            <w:r>
              <w:rPr>
                <w:bCs/>
              </w:rPr>
              <w:t>A</w:t>
            </w:r>
          </w:p>
        </w:tc>
        <w:tc>
          <w:tcPr>
            <w:tcW w:w="9320" w:type="dxa"/>
          </w:tcPr>
          <w:p w14:paraId="2BB98338" w14:textId="020A1168" w:rsidR="00B53361" w:rsidRPr="00B53361" w:rsidRDefault="00B53361" w:rsidP="005E0766">
            <w:pPr>
              <w:rPr>
                <w:bCs/>
                <w:u w:val="single"/>
              </w:rPr>
            </w:pPr>
            <w:r w:rsidRPr="00B53361">
              <w:rPr>
                <w:bCs/>
                <w:u w:val="single"/>
              </w:rPr>
              <w:t>Answer: CM</w:t>
            </w:r>
            <w:r>
              <w:rPr>
                <w:bCs/>
                <w:u w:val="single"/>
              </w:rPr>
              <w:t xml:space="preserve"> and LB</w:t>
            </w:r>
          </w:p>
          <w:p w14:paraId="1FF102AA" w14:textId="268326BF" w:rsidR="00B53361" w:rsidRDefault="00B53361" w:rsidP="00B53361">
            <w:r>
              <w:t xml:space="preserve">BSW is offering many different opportunities in trying to connect. There have been </w:t>
            </w:r>
            <w:r w:rsidR="00202115">
              <w:t>several</w:t>
            </w:r>
            <w:r>
              <w:t xml:space="preserve"> phone lines</w:t>
            </w:r>
            <w:r w:rsidR="00F04E8D">
              <w:t xml:space="preserve"> </w:t>
            </w:r>
            <w:proofErr w:type="gramStart"/>
            <w:r w:rsidR="00F04E8D">
              <w:t xml:space="preserve">and </w:t>
            </w:r>
            <w:r>
              <w:t xml:space="preserve"> places</w:t>
            </w:r>
            <w:proofErr w:type="gramEnd"/>
            <w:r>
              <w:t xml:space="preserve"> of calm. Over time people will become more aware of them and with self-referral and word of mouth more people will be able to access support. The Crisis team is trying to come together with the likes of 111 and develop a directory of resources so that people can learn more about what is available with GP’s and as many agencies as possible.</w:t>
            </w:r>
          </w:p>
          <w:p w14:paraId="602BA231" w14:textId="04FA0EF1" w:rsidR="00B53361" w:rsidRDefault="00B53361" w:rsidP="00B53361"/>
          <w:p w14:paraId="081BDE90" w14:textId="6E4C0761" w:rsidR="00B53361" w:rsidRPr="00B53361" w:rsidRDefault="00B53361" w:rsidP="00B53361">
            <w:pPr>
              <w:rPr>
                <w:u w:val="single"/>
              </w:rPr>
            </w:pPr>
            <w:r w:rsidRPr="00B53361">
              <w:rPr>
                <w:u w:val="single"/>
              </w:rPr>
              <w:t>Answer: LB</w:t>
            </w:r>
          </w:p>
          <w:p w14:paraId="5C89A2A6" w14:textId="77777777" w:rsidR="00F04E8D" w:rsidRDefault="00B53361" w:rsidP="00B53361">
            <w:r>
              <w:t xml:space="preserve">Making sure people are aware of what is out there – Crisis is one of six work streams and our absolute focus in </w:t>
            </w:r>
            <w:r w:rsidR="00F04E8D">
              <w:t>m</w:t>
            </w:r>
            <w:r>
              <w:t xml:space="preserve">ental </w:t>
            </w:r>
            <w:r w:rsidR="00F04E8D">
              <w:t>h</w:t>
            </w:r>
            <w:r>
              <w:t xml:space="preserve">ealth is early intervention and prevention. </w:t>
            </w:r>
            <w:r w:rsidR="00F04E8D">
              <w:t>We are l</w:t>
            </w:r>
            <w:r>
              <w:t xml:space="preserve">ooking at how we can get the right services in our communities so people can reach out for help across BSW, third sector and other providers. </w:t>
            </w:r>
          </w:p>
          <w:p w14:paraId="34383F2D" w14:textId="77777777" w:rsidR="00F04E8D" w:rsidRDefault="00F04E8D" w:rsidP="00B53361"/>
          <w:p w14:paraId="18AA5742" w14:textId="3A26DC62" w:rsidR="00B53361" w:rsidRDefault="00B53361" w:rsidP="00B53361">
            <w:r>
              <w:t xml:space="preserve">We are working with what already exists – wellbeing practitioners and befrienders ensuring what needs to be expanded </w:t>
            </w:r>
            <w:r w:rsidR="00F04E8D">
              <w:t>can be</w:t>
            </w:r>
            <w:r>
              <w:t xml:space="preserve">. </w:t>
            </w:r>
            <w:r w:rsidR="00202115">
              <w:t>So,</w:t>
            </w:r>
            <w:r>
              <w:t xml:space="preserve"> people can access the right help early to avoid preventable crisis.</w:t>
            </w:r>
          </w:p>
          <w:p w14:paraId="7FE15E5C" w14:textId="77777777" w:rsidR="00F04E8D" w:rsidRDefault="00F04E8D" w:rsidP="00B53361"/>
          <w:p w14:paraId="75C409F3" w14:textId="58FAD82D" w:rsidR="00B53361" w:rsidRDefault="00B53361" w:rsidP="00B53361">
            <w:r>
              <w:t>We want to give reassurance but our whole Thrive Strategy is to promote self-resilience, to have community resilience so people can understand where they can go to get help along with those services that are provided locally.</w:t>
            </w:r>
          </w:p>
          <w:p w14:paraId="177FA10E" w14:textId="722FB82D" w:rsidR="00B53361" w:rsidRDefault="00B53361" w:rsidP="005E0766">
            <w:pPr>
              <w:rPr>
                <w:bCs/>
              </w:rPr>
            </w:pPr>
          </w:p>
        </w:tc>
      </w:tr>
    </w:tbl>
    <w:p w14:paraId="48EBDFF2" w14:textId="1BFB2CE5" w:rsidR="00B53361" w:rsidRDefault="00B53361"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9184"/>
      </w:tblGrid>
      <w:tr w:rsidR="00B53361" w14:paraId="1BC72905" w14:textId="77777777" w:rsidTr="005E0766">
        <w:tc>
          <w:tcPr>
            <w:tcW w:w="534" w:type="dxa"/>
          </w:tcPr>
          <w:p w14:paraId="7FC53271" w14:textId="145E02E0" w:rsidR="00B53361" w:rsidRPr="00E50F43" w:rsidRDefault="00B53361" w:rsidP="005E0766">
            <w:pPr>
              <w:rPr>
                <w:b/>
              </w:rPr>
            </w:pPr>
            <w:r>
              <w:rPr>
                <w:b/>
              </w:rPr>
              <w:t>Q10</w:t>
            </w:r>
          </w:p>
        </w:tc>
        <w:tc>
          <w:tcPr>
            <w:tcW w:w="9320" w:type="dxa"/>
          </w:tcPr>
          <w:p w14:paraId="4AC2A298" w14:textId="1F4F5D16" w:rsidR="00B53361" w:rsidRPr="005F14E3" w:rsidRDefault="00B53361" w:rsidP="00B53361">
            <w:pPr>
              <w:rPr>
                <w:b/>
              </w:rPr>
            </w:pPr>
            <w:r>
              <w:rPr>
                <w:b/>
              </w:rPr>
              <w:t>W</w:t>
            </w:r>
            <w:r w:rsidRPr="005F14E3">
              <w:rPr>
                <w:b/>
              </w:rPr>
              <w:t xml:space="preserve">hat is being done about the availability of </w:t>
            </w:r>
            <w:r w:rsidR="00F04E8D">
              <w:rPr>
                <w:b/>
              </w:rPr>
              <w:t>t</w:t>
            </w:r>
            <w:r w:rsidRPr="005F14E3">
              <w:rPr>
                <w:b/>
              </w:rPr>
              <w:t xml:space="preserve">reatment </w:t>
            </w:r>
            <w:r w:rsidR="00F04E8D">
              <w:rPr>
                <w:b/>
              </w:rPr>
              <w:t>s</w:t>
            </w:r>
            <w:r w:rsidRPr="005F14E3">
              <w:rPr>
                <w:b/>
              </w:rPr>
              <w:t>ervices?</w:t>
            </w:r>
          </w:p>
          <w:p w14:paraId="4B2D168E" w14:textId="77777777" w:rsidR="00B53361" w:rsidRDefault="00B53361" w:rsidP="005E0766">
            <w:pPr>
              <w:rPr>
                <w:bCs/>
              </w:rPr>
            </w:pPr>
          </w:p>
        </w:tc>
      </w:tr>
      <w:tr w:rsidR="00B53361" w14:paraId="1A9D1AB0" w14:textId="77777777" w:rsidTr="005E0766">
        <w:tc>
          <w:tcPr>
            <w:tcW w:w="534" w:type="dxa"/>
          </w:tcPr>
          <w:p w14:paraId="427D59B7" w14:textId="7BA795DC" w:rsidR="00B53361" w:rsidRDefault="00B53361" w:rsidP="005E0766">
            <w:pPr>
              <w:rPr>
                <w:bCs/>
              </w:rPr>
            </w:pPr>
            <w:r>
              <w:rPr>
                <w:bCs/>
              </w:rPr>
              <w:t>A</w:t>
            </w:r>
          </w:p>
        </w:tc>
        <w:tc>
          <w:tcPr>
            <w:tcW w:w="9320" w:type="dxa"/>
          </w:tcPr>
          <w:p w14:paraId="7F8E4A93" w14:textId="77777777" w:rsidR="00B53361" w:rsidRPr="00B53361" w:rsidRDefault="00B53361" w:rsidP="005E0766">
            <w:pPr>
              <w:rPr>
                <w:bCs/>
                <w:u w:val="single"/>
              </w:rPr>
            </w:pPr>
            <w:r w:rsidRPr="00B53361">
              <w:rPr>
                <w:bCs/>
                <w:u w:val="single"/>
              </w:rPr>
              <w:t>Answer: LB</w:t>
            </w:r>
          </w:p>
          <w:p w14:paraId="38381C59" w14:textId="77777777" w:rsidR="00F04E8D" w:rsidRDefault="00B53361" w:rsidP="00B53361">
            <w:r>
              <w:t xml:space="preserve">This has been challenging during Covid, we have had to look at how those services have been delivered. </w:t>
            </w:r>
            <w:proofErr w:type="gramStart"/>
            <w:r>
              <w:t>Services</w:t>
            </w:r>
            <w:proofErr w:type="gramEnd"/>
            <w:r>
              <w:t xml:space="preserve"> such as IAP which is a mental health therapeutic intervention ha</w:t>
            </w:r>
            <w:r w:rsidR="00F04E8D">
              <w:t>s</w:t>
            </w:r>
            <w:r>
              <w:t xml:space="preserve"> been open virtually. One of the things we are spending time doing is making sure the changes made during Covid are actually the right services for those with lived experience.</w:t>
            </w:r>
          </w:p>
          <w:p w14:paraId="0975199D" w14:textId="3F9AFF12" w:rsidR="00B53361" w:rsidRDefault="00B53361" w:rsidP="00B53361">
            <w:r>
              <w:t xml:space="preserve"> </w:t>
            </w:r>
          </w:p>
          <w:p w14:paraId="6C6454FA" w14:textId="0D1D6CE6" w:rsidR="00B53361" w:rsidRDefault="00B53361" w:rsidP="00B53361">
            <w:r>
              <w:t>Many people have told us they miss group and peer support sessions. They have been difficult to restart due to the measures required to meet social distancing and what is needed for the planned restart of those services.</w:t>
            </w:r>
          </w:p>
          <w:p w14:paraId="3CE767C8" w14:textId="77777777" w:rsidR="00F04E8D" w:rsidRDefault="00F04E8D" w:rsidP="00B53361"/>
          <w:p w14:paraId="544D7D10" w14:textId="77777777" w:rsidR="00F04E8D" w:rsidRDefault="00B53361" w:rsidP="00B53361">
            <w:r>
              <w:t xml:space="preserve">If anyone is concerned about accessing these services, please get in touch. Whilst we are in the place where the majority of our services are open, some are still </w:t>
            </w:r>
            <w:proofErr w:type="gramStart"/>
            <w:r>
              <w:t>virtual</w:t>
            </w:r>
            <w:proofErr w:type="gramEnd"/>
            <w:r>
              <w:t xml:space="preserve"> only. </w:t>
            </w:r>
          </w:p>
          <w:p w14:paraId="5AFC0DEB" w14:textId="77777777" w:rsidR="00F04E8D" w:rsidRDefault="00F04E8D" w:rsidP="00B53361"/>
          <w:p w14:paraId="601CFCD2" w14:textId="3BC3A0C9" w:rsidR="00B53361" w:rsidRDefault="00B53361" w:rsidP="00B53361">
            <w:r>
              <w:t>Our focus has been to continue working with our partners to make sure we are delivering the right services. We are looking at how we can increase that therapeutic offer, enhance psychological offer online and improved bereavement support.</w:t>
            </w:r>
          </w:p>
          <w:p w14:paraId="5DE7A476" w14:textId="7711C3B7" w:rsidR="00B53361" w:rsidRDefault="00B53361" w:rsidP="005E0766">
            <w:pPr>
              <w:rPr>
                <w:bCs/>
              </w:rPr>
            </w:pPr>
          </w:p>
        </w:tc>
      </w:tr>
    </w:tbl>
    <w:p w14:paraId="0BFF8CF1" w14:textId="65CEBDA9" w:rsidR="00B53361" w:rsidRDefault="00B53361"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9184"/>
      </w:tblGrid>
      <w:tr w:rsidR="00B53361" w14:paraId="71882654" w14:textId="77777777" w:rsidTr="005E0766">
        <w:tc>
          <w:tcPr>
            <w:tcW w:w="534" w:type="dxa"/>
          </w:tcPr>
          <w:p w14:paraId="37216619" w14:textId="2EA0E569" w:rsidR="00B53361" w:rsidRPr="00E50F43" w:rsidRDefault="00B53361" w:rsidP="005E0766">
            <w:pPr>
              <w:rPr>
                <w:b/>
              </w:rPr>
            </w:pPr>
            <w:r>
              <w:rPr>
                <w:b/>
              </w:rPr>
              <w:t>Q11</w:t>
            </w:r>
          </w:p>
        </w:tc>
        <w:tc>
          <w:tcPr>
            <w:tcW w:w="9320" w:type="dxa"/>
          </w:tcPr>
          <w:p w14:paraId="4FD0D2D6" w14:textId="77777777" w:rsidR="00B53361" w:rsidRPr="005F14E3" w:rsidRDefault="00B53361" w:rsidP="00B53361">
            <w:pPr>
              <w:rPr>
                <w:b/>
              </w:rPr>
            </w:pPr>
            <w:r w:rsidRPr="00A92994">
              <w:rPr>
                <w:b/>
              </w:rPr>
              <w:t xml:space="preserve">There has been a substantial increase in the flu vaccination cohort.  Has the Department of Health made funds available to meet this?  </w:t>
            </w:r>
            <w:r w:rsidRPr="005F14E3">
              <w:rPr>
                <w:b/>
              </w:rPr>
              <w:t>Are there facilities for GP’s to have their own blood test analysis and are we aware of any of these in our CCG area?</w:t>
            </w:r>
          </w:p>
          <w:p w14:paraId="1756A1C1" w14:textId="77777777" w:rsidR="00B53361" w:rsidRDefault="00B53361" w:rsidP="005E0766">
            <w:pPr>
              <w:rPr>
                <w:bCs/>
              </w:rPr>
            </w:pPr>
          </w:p>
        </w:tc>
      </w:tr>
      <w:tr w:rsidR="00B53361" w14:paraId="35617CE9" w14:textId="77777777" w:rsidTr="005E0766">
        <w:tc>
          <w:tcPr>
            <w:tcW w:w="534" w:type="dxa"/>
          </w:tcPr>
          <w:p w14:paraId="0F334DB8" w14:textId="6D8DC2A3" w:rsidR="00B53361" w:rsidRDefault="00B53361" w:rsidP="005E0766">
            <w:pPr>
              <w:rPr>
                <w:bCs/>
              </w:rPr>
            </w:pPr>
            <w:r>
              <w:rPr>
                <w:bCs/>
              </w:rPr>
              <w:t>A</w:t>
            </w:r>
          </w:p>
        </w:tc>
        <w:tc>
          <w:tcPr>
            <w:tcW w:w="9320" w:type="dxa"/>
          </w:tcPr>
          <w:p w14:paraId="2968949D" w14:textId="77777777" w:rsidR="00B53361" w:rsidRPr="00B53361" w:rsidRDefault="00B53361" w:rsidP="005E0766">
            <w:pPr>
              <w:rPr>
                <w:bCs/>
                <w:u w:val="single"/>
              </w:rPr>
            </w:pPr>
            <w:r w:rsidRPr="00B53361">
              <w:rPr>
                <w:bCs/>
                <w:u w:val="single"/>
              </w:rPr>
              <w:t>Answer: AG</w:t>
            </w:r>
          </w:p>
          <w:p w14:paraId="7F539615" w14:textId="0C7D7B49" w:rsidR="00B53361" w:rsidRDefault="00B53361" w:rsidP="00B53361">
            <w:r>
              <w:t xml:space="preserve">Regarding blood, it’s about efficiencies around having reliable blood monitoring at GP practices. We have tried increasing the number of pick-ups for labs. Some surgeries have blood spinning machines to ensure bloods are spun so they can be collected the next day. We are using some innovative </w:t>
            </w:r>
            <w:r w:rsidR="00202115">
              <w:t>solutions,</w:t>
            </w:r>
            <w:r>
              <w:t xml:space="preserve"> but we need to ensure consistency for the likes of rural practices.</w:t>
            </w:r>
          </w:p>
          <w:p w14:paraId="6C93C362" w14:textId="7BBB80E2" w:rsidR="00B53361" w:rsidRDefault="00B53361" w:rsidP="00B53361"/>
          <w:p w14:paraId="634C48B9" w14:textId="0FAFC04E" w:rsidR="00B53361" w:rsidRPr="00B53361" w:rsidRDefault="00B53361" w:rsidP="00B53361">
            <w:pPr>
              <w:rPr>
                <w:u w:val="single"/>
              </w:rPr>
            </w:pPr>
            <w:r w:rsidRPr="00B53361">
              <w:rPr>
                <w:u w:val="single"/>
              </w:rPr>
              <w:t>Answer: CG</w:t>
            </w:r>
          </w:p>
          <w:p w14:paraId="4B55B1E7" w14:textId="3236606A" w:rsidR="00B53361" w:rsidRDefault="00B53361" w:rsidP="00B53361">
            <w:r>
              <w:lastRenderedPageBreak/>
              <w:t>There has been financial support for Primary Care during Covid but during this period, the financial regime has changed significantly. In the past the CCG had a pot of money as shown in the slides and the CCG would determine the best use of that money in consultation with its providers in Primary Care</w:t>
            </w:r>
            <w:r w:rsidR="00F04E8D">
              <w:t>.</w:t>
            </w:r>
          </w:p>
          <w:p w14:paraId="6B1D7F0C" w14:textId="77777777" w:rsidR="00F04E8D" w:rsidRDefault="00F04E8D" w:rsidP="00B53361"/>
          <w:p w14:paraId="3196BACB" w14:textId="77777777" w:rsidR="00B53361" w:rsidRDefault="00B53361" w:rsidP="00B53361">
            <w:r>
              <w:t>For Covid related costs, the CCG can draw down from NHS England which correlates with the Government saying money is not an issue in covering clinical care.</w:t>
            </w:r>
          </w:p>
          <w:p w14:paraId="3E394038" w14:textId="49966334" w:rsidR="00B53361" w:rsidRDefault="00B53361" w:rsidP="005E0766">
            <w:pPr>
              <w:rPr>
                <w:bCs/>
              </w:rPr>
            </w:pPr>
          </w:p>
        </w:tc>
      </w:tr>
    </w:tbl>
    <w:p w14:paraId="76ED4AA2" w14:textId="08551713" w:rsidR="00B53361" w:rsidRDefault="00B53361"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9184"/>
      </w:tblGrid>
      <w:tr w:rsidR="00B53361" w14:paraId="76A1DCC5" w14:textId="77777777" w:rsidTr="005E0766">
        <w:tc>
          <w:tcPr>
            <w:tcW w:w="534" w:type="dxa"/>
          </w:tcPr>
          <w:p w14:paraId="4572B8FA" w14:textId="60A13FBC" w:rsidR="00B53361" w:rsidRPr="00E50F43" w:rsidRDefault="00B53361" w:rsidP="005E0766">
            <w:pPr>
              <w:rPr>
                <w:b/>
              </w:rPr>
            </w:pPr>
            <w:r>
              <w:rPr>
                <w:b/>
              </w:rPr>
              <w:t>Q12</w:t>
            </w:r>
          </w:p>
        </w:tc>
        <w:tc>
          <w:tcPr>
            <w:tcW w:w="9320" w:type="dxa"/>
          </w:tcPr>
          <w:p w14:paraId="3F3D04EE" w14:textId="24AC2D76" w:rsidR="00B53361" w:rsidRDefault="00A92994" w:rsidP="005E0766">
            <w:pPr>
              <w:rPr>
                <w:bCs/>
              </w:rPr>
            </w:pPr>
            <w:r>
              <w:rPr>
                <w:b/>
              </w:rPr>
              <w:t xml:space="preserve"> Discuss around en</w:t>
            </w:r>
            <w:r w:rsidR="00B53361" w:rsidRPr="00B53361">
              <w:rPr>
                <w:b/>
              </w:rPr>
              <w:t xml:space="preserve">gagement </w:t>
            </w:r>
            <w:bookmarkStart w:id="0" w:name="_GoBack"/>
            <w:bookmarkEnd w:id="0"/>
          </w:p>
          <w:p w14:paraId="5D2F3219" w14:textId="4AF8A0C8" w:rsidR="00B53361" w:rsidRDefault="00B53361" w:rsidP="005E0766">
            <w:pPr>
              <w:rPr>
                <w:bCs/>
              </w:rPr>
            </w:pPr>
          </w:p>
        </w:tc>
      </w:tr>
      <w:tr w:rsidR="00B53361" w14:paraId="31FD6009" w14:textId="77777777" w:rsidTr="005E0766">
        <w:tc>
          <w:tcPr>
            <w:tcW w:w="534" w:type="dxa"/>
          </w:tcPr>
          <w:p w14:paraId="3A9F5CCA" w14:textId="275D8D0B" w:rsidR="00B53361" w:rsidRDefault="00B53361" w:rsidP="005E0766">
            <w:pPr>
              <w:rPr>
                <w:bCs/>
              </w:rPr>
            </w:pPr>
            <w:r>
              <w:rPr>
                <w:bCs/>
              </w:rPr>
              <w:t>A</w:t>
            </w:r>
          </w:p>
        </w:tc>
        <w:tc>
          <w:tcPr>
            <w:tcW w:w="9320" w:type="dxa"/>
          </w:tcPr>
          <w:p w14:paraId="7D8C6042" w14:textId="77777777" w:rsidR="00B53361" w:rsidRPr="00B53361" w:rsidRDefault="00B53361" w:rsidP="005E0766">
            <w:pPr>
              <w:rPr>
                <w:bCs/>
                <w:u w:val="single"/>
              </w:rPr>
            </w:pPr>
            <w:r w:rsidRPr="00B53361">
              <w:rPr>
                <w:bCs/>
                <w:u w:val="single"/>
              </w:rPr>
              <w:t>Answer: JK</w:t>
            </w:r>
          </w:p>
          <w:p w14:paraId="33930232" w14:textId="57929DAE" w:rsidR="00B53361" w:rsidRDefault="00B53361" w:rsidP="00B53361">
            <w:r>
              <w:t xml:space="preserve">There was concern when we took over </w:t>
            </w:r>
            <w:r w:rsidR="00F04E8D">
              <w:t>three</w:t>
            </w:r>
            <w:r>
              <w:t xml:space="preserve"> organisations that there were very different patient engagement offers going on in the three separate CCG’s. We didn’t want to stop anything just because we changed our organisations. We have made sure that we keep supporting those mechanisms that work.  </w:t>
            </w:r>
          </w:p>
          <w:p w14:paraId="2EB7F59A" w14:textId="77777777" w:rsidR="00F04E8D" w:rsidRDefault="00F04E8D" w:rsidP="00B53361"/>
          <w:p w14:paraId="29C817B3" w14:textId="4D1751EF" w:rsidR="00B53361" w:rsidRDefault="00B53361" w:rsidP="00B53361">
            <w:r>
              <w:t xml:space="preserve">In the </w:t>
            </w:r>
            <w:r w:rsidR="00202115">
              <w:t>meantime,</w:t>
            </w:r>
            <w:r>
              <w:t xml:space="preserve"> we have worked up something that will work for all. We want to get more people engaged; we could have had something slick f</w:t>
            </w:r>
            <w:r w:rsidR="00F04E8D">
              <w:t>rom</w:t>
            </w:r>
            <w:r>
              <w:t xml:space="preserve"> an organisational perspective but might not have worked from a patient or public perspective. What is difficult is that everyone’s needs are many and varied; it is not just where you live but </w:t>
            </w:r>
            <w:r w:rsidR="00202115">
              <w:t>all</w:t>
            </w:r>
            <w:r>
              <w:t xml:space="preserve"> the other demographic issues behind that.</w:t>
            </w:r>
          </w:p>
          <w:p w14:paraId="12AF17D2" w14:textId="77777777" w:rsidR="00F04E8D" w:rsidRDefault="00F04E8D" w:rsidP="00B53361"/>
          <w:p w14:paraId="7C41F834" w14:textId="2453645A" w:rsidR="00B53361" w:rsidRDefault="00B53361" w:rsidP="00B53361">
            <w:r>
              <w:t xml:space="preserve">The research we are doing is to make sure we are </w:t>
            </w:r>
            <w:r w:rsidR="00202115">
              <w:t>representative</w:t>
            </w:r>
            <w:r>
              <w:t xml:space="preserve"> of our area rather than just do something for the sake of it. We wanted to do something really good which is why we have designed the Citizens panel.</w:t>
            </w:r>
          </w:p>
          <w:p w14:paraId="0EB78887" w14:textId="0D55B173" w:rsidR="00B53361" w:rsidRDefault="00B53361" w:rsidP="005E0766">
            <w:pPr>
              <w:rPr>
                <w:bCs/>
              </w:rPr>
            </w:pPr>
          </w:p>
        </w:tc>
      </w:tr>
    </w:tbl>
    <w:p w14:paraId="79C73469" w14:textId="6A329DF2" w:rsidR="00B53361" w:rsidRDefault="00B53361"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9184"/>
      </w:tblGrid>
      <w:tr w:rsidR="00B53361" w14:paraId="70FE6AC0" w14:textId="77777777" w:rsidTr="005E0766">
        <w:tc>
          <w:tcPr>
            <w:tcW w:w="534" w:type="dxa"/>
          </w:tcPr>
          <w:p w14:paraId="2E92CB20" w14:textId="52A12D1B" w:rsidR="00B53361" w:rsidRPr="00E50F43" w:rsidRDefault="00B53361" w:rsidP="005E0766">
            <w:pPr>
              <w:rPr>
                <w:b/>
              </w:rPr>
            </w:pPr>
            <w:r>
              <w:rPr>
                <w:b/>
              </w:rPr>
              <w:t>Q13</w:t>
            </w:r>
          </w:p>
        </w:tc>
        <w:tc>
          <w:tcPr>
            <w:tcW w:w="9320" w:type="dxa"/>
          </w:tcPr>
          <w:p w14:paraId="02F7F64A" w14:textId="69626A98" w:rsidR="00B53361" w:rsidRPr="005F14E3" w:rsidRDefault="00B53361" w:rsidP="00B53361">
            <w:pPr>
              <w:rPr>
                <w:b/>
              </w:rPr>
            </w:pPr>
            <w:r>
              <w:rPr>
                <w:b/>
              </w:rPr>
              <w:t>W</w:t>
            </w:r>
            <w:r w:rsidRPr="005F14E3">
              <w:rPr>
                <w:b/>
              </w:rPr>
              <w:t>hen will personal wheelchair budgets be introduced?</w:t>
            </w:r>
          </w:p>
          <w:p w14:paraId="508748BD" w14:textId="77777777" w:rsidR="00B53361" w:rsidRDefault="00B53361" w:rsidP="005E0766">
            <w:pPr>
              <w:rPr>
                <w:bCs/>
              </w:rPr>
            </w:pPr>
          </w:p>
        </w:tc>
      </w:tr>
      <w:tr w:rsidR="00B53361" w14:paraId="3634CE45" w14:textId="77777777" w:rsidTr="005E0766">
        <w:tc>
          <w:tcPr>
            <w:tcW w:w="534" w:type="dxa"/>
          </w:tcPr>
          <w:p w14:paraId="6B523DC2" w14:textId="7FA04286" w:rsidR="00B53361" w:rsidRDefault="00B53361" w:rsidP="005E0766">
            <w:pPr>
              <w:rPr>
                <w:bCs/>
              </w:rPr>
            </w:pPr>
            <w:r>
              <w:rPr>
                <w:bCs/>
              </w:rPr>
              <w:t>A</w:t>
            </w:r>
          </w:p>
        </w:tc>
        <w:tc>
          <w:tcPr>
            <w:tcW w:w="9320" w:type="dxa"/>
          </w:tcPr>
          <w:p w14:paraId="225E2253" w14:textId="77777777" w:rsidR="00B53361" w:rsidRPr="00B53361" w:rsidRDefault="00B53361" w:rsidP="005E0766">
            <w:pPr>
              <w:rPr>
                <w:bCs/>
                <w:u w:val="single"/>
              </w:rPr>
            </w:pPr>
            <w:r w:rsidRPr="00B53361">
              <w:rPr>
                <w:bCs/>
                <w:u w:val="single"/>
              </w:rPr>
              <w:t>Answer: TC</w:t>
            </w:r>
          </w:p>
          <w:p w14:paraId="5CAAEA45" w14:textId="3C3D1EC3" w:rsidR="00B53361" w:rsidRDefault="00B53361" w:rsidP="00B53361">
            <w:r>
              <w:t>Our programme of work and plans has been impacted by Covid</w:t>
            </w:r>
            <w:r w:rsidR="00F04E8D">
              <w:t>-</w:t>
            </w:r>
            <w:r>
              <w:t xml:space="preserve">19. There was a national expectation around the expansion of personal health budgets, but we have not been able to do the work necessary to fulfil that obligation. That work is currently on hold so unfortunately, we do not have a date currently. </w:t>
            </w:r>
          </w:p>
          <w:p w14:paraId="0FD1E37A" w14:textId="77777777" w:rsidR="00F04E8D" w:rsidRDefault="00F04E8D" w:rsidP="00B53361"/>
          <w:p w14:paraId="4D183EFA" w14:textId="0210817C" w:rsidR="00B53361" w:rsidRDefault="00B53361" w:rsidP="00F04E8D">
            <w:pPr>
              <w:rPr>
                <w:bCs/>
              </w:rPr>
            </w:pPr>
            <w:r>
              <w:t xml:space="preserve">I realise for wheelchair </w:t>
            </w:r>
            <w:r w:rsidR="00202115">
              <w:t>users;</w:t>
            </w:r>
            <w:r>
              <w:t xml:space="preserve"> this is a very important issue and we are hoping to be in a position to support in this area in due course.</w:t>
            </w:r>
          </w:p>
        </w:tc>
      </w:tr>
    </w:tbl>
    <w:p w14:paraId="6A7B0051" w14:textId="4E44346F" w:rsidR="00B53361" w:rsidRDefault="00B53361" w:rsidP="00E50F43"/>
    <w:p w14:paraId="299C5D9F" w14:textId="6EC05854" w:rsidR="00F04E8D" w:rsidRDefault="00F04E8D" w:rsidP="00E50F43"/>
    <w:p w14:paraId="640977DD" w14:textId="5A48421C" w:rsidR="00F04E8D" w:rsidRDefault="00F04E8D" w:rsidP="00E50F43"/>
    <w:p w14:paraId="211D0A6F" w14:textId="77777777" w:rsidR="00F04E8D" w:rsidRDefault="00F04E8D"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9184"/>
      </w:tblGrid>
      <w:tr w:rsidR="00B53361" w14:paraId="292848F5" w14:textId="77777777" w:rsidTr="005E0766">
        <w:tc>
          <w:tcPr>
            <w:tcW w:w="534" w:type="dxa"/>
          </w:tcPr>
          <w:p w14:paraId="7D0B85F0" w14:textId="1ECFE0D4" w:rsidR="00B53361" w:rsidRPr="00E50F43" w:rsidRDefault="00B53361" w:rsidP="005E0766">
            <w:pPr>
              <w:rPr>
                <w:b/>
              </w:rPr>
            </w:pPr>
            <w:r>
              <w:rPr>
                <w:b/>
              </w:rPr>
              <w:t>Q14</w:t>
            </w:r>
          </w:p>
        </w:tc>
        <w:tc>
          <w:tcPr>
            <w:tcW w:w="9320" w:type="dxa"/>
          </w:tcPr>
          <w:p w14:paraId="1F139BBF" w14:textId="77777777" w:rsidR="00B53361" w:rsidRPr="00B53361" w:rsidRDefault="00B53361" w:rsidP="00B53361">
            <w:pPr>
              <w:rPr>
                <w:b/>
                <w:bCs/>
              </w:rPr>
            </w:pPr>
            <w:r w:rsidRPr="00B53361">
              <w:rPr>
                <w:b/>
                <w:bCs/>
              </w:rPr>
              <w:t>Are GP’s going to get financial support whilst observing Covid constraints having to put on more flu clinics and time to ensure our patients are covered?</w:t>
            </w:r>
          </w:p>
          <w:p w14:paraId="3E1E3D73" w14:textId="77777777" w:rsidR="00B53361" w:rsidRDefault="00B53361" w:rsidP="005E0766">
            <w:pPr>
              <w:rPr>
                <w:bCs/>
              </w:rPr>
            </w:pPr>
          </w:p>
        </w:tc>
      </w:tr>
      <w:tr w:rsidR="00B53361" w14:paraId="603F20AB" w14:textId="77777777" w:rsidTr="005E0766">
        <w:tc>
          <w:tcPr>
            <w:tcW w:w="534" w:type="dxa"/>
          </w:tcPr>
          <w:p w14:paraId="0983B33A" w14:textId="4E4AB8B7" w:rsidR="00B53361" w:rsidRDefault="00B53361" w:rsidP="005E0766">
            <w:pPr>
              <w:rPr>
                <w:bCs/>
              </w:rPr>
            </w:pPr>
            <w:r>
              <w:rPr>
                <w:bCs/>
              </w:rPr>
              <w:lastRenderedPageBreak/>
              <w:t>A</w:t>
            </w:r>
          </w:p>
        </w:tc>
        <w:tc>
          <w:tcPr>
            <w:tcW w:w="9320" w:type="dxa"/>
          </w:tcPr>
          <w:p w14:paraId="3D69D256" w14:textId="199FBFD5" w:rsidR="00B53361" w:rsidRPr="00202115" w:rsidRDefault="00B53361" w:rsidP="005E0766">
            <w:pPr>
              <w:rPr>
                <w:bCs/>
                <w:u w:val="single"/>
              </w:rPr>
            </w:pPr>
            <w:r w:rsidRPr="00202115">
              <w:rPr>
                <w:bCs/>
                <w:u w:val="single"/>
              </w:rPr>
              <w:t>A</w:t>
            </w:r>
            <w:r w:rsidR="00202115" w:rsidRPr="00202115">
              <w:rPr>
                <w:bCs/>
                <w:u w:val="single"/>
              </w:rPr>
              <w:t>nswer</w:t>
            </w:r>
            <w:r w:rsidR="00202115">
              <w:rPr>
                <w:bCs/>
                <w:u w:val="single"/>
              </w:rPr>
              <w:t>:</w:t>
            </w:r>
            <w:r w:rsidR="00202115" w:rsidRPr="00202115">
              <w:rPr>
                <w:bCs/>
                <w:u w:val="single"/>
              </w:rPr>
              <w:t xml:space="preserve"> CG</w:t>
            </w:r>
          </w:p>
          <w:p w14:paraId="5DE257A6" w14:textId="77777777" w:rsidR="00F04E8D" w:rsidRDefault="00202115" w:rsidP="00202115">
            <w:r>
              <w:t xml:space="preserve">We are waiting across the NHS to see what </w:t>
            </w:r>
            <w:r w:rsidR="00F04E8D">
              <w:t xml:space="preserve">the </w:t>
            </w:r>
            <w:r>
              <w:t xml:space="preserve">financial regime will look like for the later part of the year. We don’t know yet, but we are hoping it will continue as it has done previously. </w:t>
            </w:r>
          </w:p>
          <w:p w14:paraId="4FD20A62" w14:textId="77777777" w:rsidR="00F04E8D" w:rsidRDefault="00F04E8D" w:rsidP="00202115"/>
          <w:p w14:paraId="6B39AB5B" w14:textId="47E52C31" w:rsidR="00202115" w:rsidRDefault="00202115" w:rsidP="00202115">
            <w:r>
              <w:t>We will be able to support the requirement to meet the needs of the patients from a Covid and ongoing clinical perspective.</w:t>
            </w:r>
          </w:p>
          <w:p w14:paraId="3DDD1E6E" w14:textId="77777777" w:rsidR="00F04E8D" w:rsidRDefault="00F04E8D" w:rsidP="00202115"/>
          <w:p w14:paraId="1E6FAD0F" w14:textId="77777777" w:rsidR="00202115" w:rsidRDefault="00202115" w:rsidP="00202115">
            <w:r>
              <w:t>Finances have changed and the financial arrangements were made clear for the beginning of this year.  They will be tweaked and amended slightly; the aspiration is that the systems will have the financial load to operate for the remainder of the year.</w:t>
            </w:r>
          </w:p>
          <w:p w14:paraId="1C7F71D8" w14:textId="7AD7A1DF" w:rsidR="00202115" w:rsidRDefault="00202115" w:rsidP="005E0766">
            <w:pPr>
              <w:rPr>
                <w:bCs/>
              </w:rPr>
            </w:pPr>
          </w:p>
        </w:tc>
      </w:tr>
    </w:tbl>
    <w:p w14:paraId="6B30FD4D" w14:textId="517256B4" w:rsidR="00B53361" w:rsidRDefault="00B53361" w:rsidP="00E50F4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9184"/>
      </w:tblGrid>
      <w:tr w:rsidR="00202115" w14:paraId="1F80C7F6" w14:textId="77777777" w:rsidTr="005E0766">
        <w:tc>
          <w:tcPr>
            <w:tcW w:w="534" w:type="dxa"/>
          </w:tcPr>
          <w:p w14:paraId="537B016B" w14:textId="6B700514" w:rsidR="00202115" w:rsidRPr="00E50F43" w:rsidRDefault="00202115" w:rsidP="005E0766">
            <w:pPr>
              <w:rPr>
                <w:b/>
              </w:rPr>
            </w:pPr>
            <w:r>
              <w:rPr>
                <w:b/>
              </w:rPr>
              <w:t>Q15</w:t>
            </w:r>
          </w:p>
        </w:tc>
        <w:tc>
          <w:tcPr>
            <w:tcW w:w="9320" w:type="dxa"/>
          </w:tcPr>
          <w:p w14:paraId="5CFE6620" w14:textId="7F36E0B5" w:rsidR="00202115" w:rsidRPr="005F14E3" w:rsidRDefault="00202115" w:rsidP="00202115">
            <w:pPr>
              <w:rPr>
                <w:b/>
              </w:rPr>
            </w:pPr>
            <w:r>
              <w:rPr>
                <w:b/>
              </w:rPr>
              <w:t>Y</w:t>
            </w:r>
            <w:r w:rsidRPr="005F14E3">
              <w:rPr>
                <w:b/>
              </w:rPr>
              <w:t>ou can see people are being failed by the system such as young people and mental health when they are transferred to adult services. There are not adequate services and there is a failure to invest in treatment. How will you address this?</w:t>
            </w:r>
          </w:p>
          <w:p w14:paraId="5C7F6CE0" w14:textId="77777777" w:rsidR="00202115" w:rsidRDefault="00202115" w:rsidP="005E0766">
            <w:pPr>
              <w:rPr>
                <w:bCs/>
              </w:rPr>
            </w:pPr>
          </w:p>
        </w:tc>
      </w:tr>
      <w:tr w:rsidR="00202115" w14:paraId="153F101E" w14:textId="77777777" w:rsidTr="005E0766">
        <w:tc>
          <w:tcPr>
            <w:tcW w:w="534" w:type="dxa"/>
          </w:tcPr>
          <w:p w14:paraId="2A83E223" w14:textId="77777777" w:rsidR="00202115" w:rsidRDefault="00202115" w:rsidP="005E0766">
            <w:pPr>
              <w:rPr>
                <w:bCs/>
              </w:rPr>
            </w:pPr>
            <w:r>
              <w:rPr>
                <w:bCs/>
              </w:rPr>
              <w:t>A</w:t>
            </w:r>
          </w:p>
        </w:tc>
        <w:tc>
          <w:tcPr>
            <w:tcW w:w="9320" w:type="dxa"/>
          </w:tcPr>
          <w:p w14:paraId="32AB2E73" w14:textId="2316EFD7" w:rsidR="00202115" w:rsidRPr="00202115" w:rsidRDefault="00202115" w:rsidP="005E0766">
            <w:pPr>
              <w:rPr>
                <w:bCs/>
                <w:u w:val="single"/>
              </w:rPr>
            </w:pPr>
            <w:r w:rsidRPr="00202115">
              <w:rPr>
                <w:bCs/>
                <w:u w:val="single"/>
              </w:rPr>
              <w:t>Answe</w:t>
            </w:r>
            <w:r>
              <w:rPr>
                <w:bCs/>
                <w:u w:val="single"/>
              </w:rPr>
              <w:t>r:</w:t>
            </w:r>
            <w:r w:rsidRPr="00202115">
              <w:rPr>
                <w:bCs/>
                <w:u w:val="single"/>
              </w:rPr>
              <w:t xml:space="preserve"> LB</w:t>
            </w:r>
          </w:p>
          <w:p w14:paraId="41FBE266" w14:textId="66E53880" w:rsidR="00202115" w:rsidRDefault="00202115" w:rsidP="00202115">
            <w:r>
              <w:t xml:space="preserve">This is a historic issue and transition is a key area with a national drive looking at developing new services for people aged 16-25 years old meaning transition will be a better process. </w:t>
            </w:r>
          </w:p>
          <w:p w14:paraId="02B57ED7" w14:textId="77777777" w:rsidR="00F04E8D" w:rsidRDefault="00F04E8D" w:rsidP="00202115"/>
          <w:p w14:paraId="3BB37A31" w14:textId="77777777" w:rsidR="00F04E8D" w:rsidRDefault="00202115" w:rsidP="00202115">
            <w:r>
              <w:t xml:space="preserve">Locally, we have </w:t>
            </w:r>
            <w:r w:rsidR="00F04E8D">
              <w:t>m</w:t>
            </w:r>
            <w:r>
              <w:t xml:space="preserve">ulti-disciplinary sessions where there can be an individual assessment for each child and young person as they move to transition. This is to understand when the right time to do that is and how they are supported to do that. </w:t>
            </w:r>
          </w:p>
          <w:p w14:paraId="77292DFB" w14:textId="1CC9669C" w:rsidR="00202115" w:rsidRDefault="00202115" w:rsidP="00202115">
            <w:r>
              <w:t>This is in a much more individualised way as opposed to that cut off due to age.</w:t>
            </w:r>
          </w:p>
          <w:p w14:paraId="75721DE0" w14:textId="77777777" w:rsidR="00F04E8D" w:rsidRDefault="00F04E8D" w:rsidP="00202115"/>
          <w:p w14:paraId="01D5E89A" w14:textId="775D0591" w:rsidR="00202115" w:rsidRDefault="00202115" w:rsidP="00202115">
            <w:r>
              <w:t>The CCG has a mental health investment standard that looks at how much money is spent on mental health across all sectors and providers. The CCG has invested in mental health and continues to do so. There is more money flowing through nationally to support the transformation of mental health services. Our aim and focus is to work on co</w:t>
            </w:r>
            <w:r w:rsidR="00EC38AD">
              <w:t>-</w:t>
            </w:r>
            <w:r>
              <w:t>creation of what we need to change to make it better with the ability to help us invest in the right things and the places.</w:t>
            </w:r>
          </w:p>
          <w:p w14:paraId="3DFDDB99" w14:textId="77777777" w:rsidR="00202115" w:rsidRDefault="00202115" w:rsidP="005E0766">
            <w:pPr>
              <w:rPr>
                <w:bCs/>
              </w:rPr>
            </w:pPr>
          </w:p>
          <w:p w14:paraId="0F4DC4AD" w14:textId="77777777" w:rsidR="00202115" w:rsidRPr="00202115" w:rsidRDefault="00202115" w:rsidP="005E0766">
            <w:pPr>
              <w:rPr>
                <w:bCs/>
                <w:u w:val="single"/>
              </w:rPr>
            </w:pPr>
            <w:r w:rsidRPr="00202115">
              <w:rPr>
                <w:bCs/>
                <w:u w:val="single"/>
              </w:rPr>
              <w:t>Answer: TC</w:t>
            </w:r>
          </w:p>
          <w:p w14:paraId="6DEEDA1C" w14:textId="46AB9445" w:rsidR="00202115" w:rsidRDefault="00202115" w:rsidP="00202115">
            <w:r>
              <w:t>We have been in a period of austerity but there is now a strong focus nationally on children and young people’s mental health and transition. We are being held to account year on year that we increase that investment in mental health across BSW. Doing that collaboratively with our providers, agreeing what will make the greatest benefit and change for local people.</w:t>
            </w:r>
          </w:p>
          <w:p w14:paraId="3F63FA00" w14:textId="77777777" w:rsidR="00EC38AD" w:rsidRDefault="00EC38AD" w:rsidP="00202115"/>
          <w:p w14:paraId="7F3245F3" w14:textId="797AB128" w:rsidR="00202115" w:rsidRDefault="00202115" w:rsidP="00202115">
            <w:r>
              <w:t xml:space="preserve">Finally, I think there is a good strong emphasis that was perhaps missing nationally in relation to the mental health agenda. We are unclear about what the future looks </w:t>
            </w:r>
            <w:r>
              <w:lastRenderedPageBreak/>
              <w:t>like, what the next spending review looks like and what that will mean but, here in the CCG, there is significant commitment to the mental health agenda which we will of course uphold.</w:t>
            </w:r>
          </w:p>
          <w:p w14:paraId="72EB3F98" w14:textId="77777777" w:rsidR="00EC38AD" w:rsidRDefault="00EC38AD" w:rsidP="00202115"/>
          <w:p w14:paraId="48772C96" w14:textId="45F391FF" w:rsidR="00202115" w:rsidRDefault="00202115" w:rsidP="00202115">
            <w:r>
              <w:t xml:space="preserve">We know the level of demand is higher than the resources available, but we are absolutely committed to the mental health investment standard to make improvements in this area.  </w:t>
            </w:r>
          </w:p>
          <w:p w14:paraId="37355D0A" w14:textId="1F580893" w:rsidR="00202115" w:rsidRDefault="00202115" w:rsidP="005E0766">
            <w:pPr>
              <w:rPr>
                <w:bCs/>
              </w:rPr>
            </w:pPr>
          </w:p>
        </w:tc>
      </w:tr>
    </w:tbl>
    <w:p w14:paraId="2A75083D" w14:textId="77777777" w:rsidR="00B53361" w:rsidRDefault="00B53361" w:rsidP="00E50F43"/>
    <w:p w14:paraId="61A7C200" w14:textId="77777777" w:rsidR="00E50F43" w:rsidRDefault="00E50F43" w:rsidP="00E50F43"/>
    <w:p w14:paraId="7BCA6B4A" w14:textId="77777777" w:rsidR="00E50F43" w:rsidRDefault="00E50F43" w:rsidP="00E50F43"/>
    <w:p w14:paraId="1F82E84D" w14:textId="77777777" w:rsidR="00E50F43" w:rsidRDefault="00E50F43" w:rsidP="00E50F43">
      <w:r>
        <w:t xml:space="preserve"> </w:t>
      </w:r>
    </w:p>
    <w:p w14:paraId="7C169388" w14:textId="77777777" w:rsidR="00E50F43" w:rsidRPr="003F32EB" w:rsidRDefault="00E50F43" w:rsidP="00E50F43"/>
    <w:p w14:paraId="3A893848" w14:textId="0926C624" w:rsidR="00625569" w:rsidRDefault="00625569">
      <w:pPr>
        <w:spacing w:line="240" w:lineRule="auto"/>
      </w:pPr>
    </w:p>
    <w:p w14:paraId="15FF4969" w14:textId="2EFCFD2B" w:rsidR="007E4209" w:rsidRPr="00FB04A8" w:rsidRDefault="00FB04A8" w:rsidP="00FB04A8">
      <w:pPr>
        <w:tabs>
          <w:tab w:val="left" w:pos="4155"/>
        </w:tabs>
      </w:pPr>
      <w:r>
        <w:tab/>
      </w:r>
    </w:p>
    <w:sectPr w:rsidR="007E4209" w:rsidRPr="00FB04A8" w:rsidSect="0051525A">
      <w:footerReference w:type="even" r:id="rId9"/>
      <w:footerReference w:type="default" r:id="rId10"/>
      <w:headerReference w:type="first" r:id="rId11"/>
      <w:footerReference w:type="first" r:id="rId12"/>
      <w:type w:val="continuous"/>
      <w:pgSz w:w="11906" w:h="16838" w:code="9"/>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45977" w14:textId="77777777" w:rsidR="00585858" w:rsidRDefault="00585858" w:rsidP="00190426">
      <w:pPr>
        <w:spacing w:line="240" w:lineRule="auto"/>
      </w:pPr>
      <w:r>
        <w:separator/>
      </w:r>
    </w:p>
  </w:endnote>
  <w:endnote w:type="continuationSeparator" w:id="0">
    <w:p w14:paraId="1EE51963" w14:textId="77777777" w:rsidR="00585858" w:rsidRDefault="00585858"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72679"/>
      <w:docPartObj>
        <w:docPartGallery w:val="Page Numbers (Bottom of Page)"/>
        <w:docPartUnique/>
      </w:docPartObj>
    </w:sdtPr>
    <w:sdtEndPr/>
    <w:sdtContent>
      <w:sdt>
        <w:sdtPr>
          <w:id w:val="860082579"/>
          <w:docPartObj>
            <w:docPartGallery w:val="Page Numbers (Top of Page)"/>
            <w:docPartUnique/>
          </w:docPartObj>
        </w:sdtPr>
        <w:sdtEndPr/>
        <w:sdtContent>
          <w:p w14:paraId="0433FCCC" w14:textId="79B609C7" w:rsidR="007E4209" w:rsidRDefault="00625569">
            <w:pPr>
              <w:pStyle w:val="Footer"/>
              <w:jc w:val="right"/>
            </w:pPr>
            <w:r>
              <w:rPr>
                <w:rFonts w:ascii="Arial" w:hAnsi="Arial" w:cs="Arial"/>
                <w:szCs w:val="18"/>
              </w:rPr>
              <w:t>NHS Bath and North East Somerset, Swindon and Wiltshire Clinical Commissioning Group</w:t>
            </w:r>
            <w:r w:rsidR="007E4209">
              <w:tab/>
              <w:t xml:space="preserve">Page </w:t>
            </w:r>
            <w:r w:rsidR="007E4209">
              <w:rPr>
                <w:b/>
                <w:bCs/>
                <w:sz w:val="24"/>
              </w:rPr>
              <w:fldChar w:fldCharType="begin"/>
            </w:r>
            <w:r w:rsidR="007E4209">
              <w:rPr>
                <w:b/>
                <w:bCs/>
              </w:rPr>
              <w:instrText xml:space="preserve"> PAGE </w:instrText>
            </w:r>
            <w:r w:rsidR="007E4209">
              <w:rPr>
                <w:b/>
                <w:bCs/>
                <w:sz w:val="24"/>
              </w:rPr>
              <w:fldChar w:fldCharType="separate"/>
            </w:r>
            <w:r w:rsidR="00A92994">
              <w:rPr>
                <w:b/>
                <w:bCs/>
                <w:noProof/>
              </w:rPr>
              <w:t>6</w:t>
            </w:r>
            <w:r w:rsidR="007E4209">
              <w:rPr>
                <w:b/>
                <w:bCs/>
                <w:sz w:val="24"/>
              </w:rPr>
              <w:fldChar w:fldCharType="end"/>
            </w:r>
            <w:r w:rsidR="007E4209">
              <w:t xml:space="preserve"> of </w:t>
            </w:r>
            <w:r w:rsidR="007E4209">
              <w:rPr>
                <w:b/>
                <w:bCs/>
                <w:sz w:val="24"/>
              </w:rPr>
              <w:fldChar w:fldCharType="begin"/>
            </w:r>
            <w:r w:rsidR="007E4209">
              <w:rPr>
                <w:b/>
                <w:bCs/>
              </w:rPr>
              <w:instrText xml:space="preserve"> NUMPAGES  </w:instrText>
            </w:r>
            <w:r w:rsidR="007E4209">
              <w:rPr>
                <w:b/>
                <w:bCs/>
                <w:sz w:val="24"/>
              </w:rPr>
              <w:fldChar w:fldCharType="separate"/>
            </w:r>
            <w:r w:rsidR="00A92994">
              <w:rPr>
                <w:b/>
                <w:bCs/>
                <w:noProof/>
              </w:rPr>
              <w:t>7</w:t>
            </w:r>
            <w:r w:rsidR="007E4209">
              <w:rPr>
                <w:b/>
                <w:bCs/>
                <w:sz w:val="24"/>
              </w:rPr>
              <w:fldChar w:fldCharType="end"/>
            </w:r>
          </w:p>
        </w:sdtContent>
      </w:sdt>
    </w:sdtContent>
  </w:sdt>
  <w:p w14:paraId="5975CCCA" w14:textId="77777777" w:rsidR="00190426" w:rsidRDefault="00190426" w:rsidP="00190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60A5" w14:textId="77777777" w:rsidR="001255F8" w:rsidRPr="00F75471" w:rsidRDefault="00CE2CAF" w:rsidP="00CE2CAF">
    <w:pPr>
      <w:pStyle w:val="Footer"/>
    </w:pPr>
    <w:r>
      <w:tab/>
    </w:r>
    <w:r>
      <w:tab/>
    </w:r>
    <w:r w:rsidR="00F75471">
      <w:t xml:space="preserve">Footer here 9pt Arial </w:t>
    </w:r>
    <w:r w:rsidR="00F75471" w:rsidRPr="00190426">
      <w:t>r</w:t>
    </w:r>
    <w:r>
      <w:t>egular</w:t>
    </w:r>
    <w:r>
      <w:tab/>
    </w:r>
    <w:r w:rsidRPr="00F75471">
      <w:rPr>
        <w:rStyle w:val="PageNumber"/>
      </w:rPr>
      <w:fldChar w:fldCharType="begin"/>
    </w:r>
    <w:r w:rsidRPr="00F75471">
      <w:rPr>
        <w:rStyle w:val="PageNumber"/>
      </w:rPr>
      <w:instrText xml:space="preserve"> PAGE   \* MERGEFORMAT </w:instrText>
    </w:r>
    <w:r w:rsidRPr="00F75471">
      <w:rPr>
        <w:rStyle w:val="PageNumber"/>
      </w:rPr>
      <w:fldChar w:fldCharType="separate"/>
    </w:r>
    <w:r w:rsidR="00A92994">
      <w:rPr>
        <w:rStyle w:val="PageNumber"/>
        <w:noProof/>
      </w:rPr>
      <w:t>7</w:t>
    </w:r>
    <w:r w:rsidRPr="00F7547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BD0D" w14:textId="55856665" w:rsidR="00E95C4C" w:rsidRDefault="00E95C4C" w:rsidP="00625569">
    <w:pPr>
      <w:pStyle w:val="Footer"/>
      <w:jc w:val="right"/>
      <w:rPr>
        <w:rFonts w:ascii="Arial" w:hAnsi="Arial" w:cs="Arial"/>
        <w:szCs w:val="18"/>
      </w:rPr>
    </w:pPr>
    <w:r>
      <w:rPr>
        <w:rFonts w:ascii="Arial" w:hAnsi="Arial" w:cs="Arial"/>
        <w:szCs w:val="18"/>
      </w:rPr>
      <w:tab/>
    </w:r>
    <w:sdt>
      <w:sdtPr>
        <w:rPr>
          <w:rFonts w:ascii="Arial" w:hAnsi="Arial" w:cs="Arial"/>
          <w:szCs w:val="18"/>
        </w:rPr>
        <w:id w:val="-757977560"/>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A92994">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A92994">
          <w:rPr>
            <w:rFonts w:ascii="Arial" w:hAnsi="Arial" w:cs="Arial"/>
            <w:b/>
            <w:bCs/>
            <w:noProof/>
            <w:szCs w:val="18"/>
          </w:rPr>
          <w:t>7</w:t>
        </w:r>
        <w:r>
          <w:rPr>
            <w:rFonts w:ascii="Arial" w:hAnsi="Arial" w:cs="Arial"/>
            <w:b/>
            <w:bCs/>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960A" w14:textId="77777777" w:rsidR="00585858" w:rsidRDefault="00585858" w:rsidP="00190426">
      <w:pPr>
        <w:spacing w:line="240" w:lineRule="auto"/>
      </w:pPr>
      <w:r>
        <w:separator/>
      </w:r>
    </w:p>
  </w:footnote>
  <w:footnote w:type="continuationSeparator" w:id="0">
    <w:p w14:paraId="30AD3B4A" w14:textId="77777777" w:rsidR="00585858" w:rsidRDefault="00585858"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EC8A" w14:textId="083138B4" w:rsidR="001255F8" w:rsidRDefault="00E95C4C" w:rsidP="004814FE">
    <w:pPr>
      <w:pStyle w:val="Header"/>
      <w:tabs>
        <w:tab w:val="left" w:pos="4340"/>
        <w:tab w:val="right" w:pos="10065"/>
      </w:tabs>
      <w:jc w:val="left"/>
    </w:pPr>
    <w:r>
      <w:rPr>
        <w:noProof/>
        <w:lang w:eastAsia="en-GB"/>
      </w:rPr>
      <w:drawing>
        <wp:anchor distT="0" distB="0" distL="114300" distR="114300" simplePos="0" relativeHeight="251658240" behindDoc="1" locked="0" layoutInCell="1" allowOverlap="1" wp14:anchorId="01C92C05" wp14:editId="782A2341">
          <wp:simplePos x="0" y="0"/>
          <wp:positionH relativeFrom="column">
            <wp:posOffset>3861435</wp:posOffset>
          </wp:positionH>
          <wp:positionV relativeFrom="paragraph">
            <wp:posOffset>-90170</wp:posOffset>
          </wp:positionV>
          <wp:extent cx="2969895" cy="1310005"/>
          <wp:effectExtent l="0" t="0" r="1905" b="4445"/>
          <wp:wrapTight wrapText="bothSides">
            <wp:wrapPolygon edited="0">
              <wp:start x="0" y="0"/>
              <wp:lineTo x="0" y="21359"/>
              <wp:lineTo x="21475" y="21359"/>
              <wp:lineTo x="21475" y="0"/>
              <wp:lineTo x="0" y="0"/>
            </wp:wrapPolygon>
          </wp:wrapTight>
          <wp:docPr id="4" name="Picture 4"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page">
            <wp14:pctWidth>0</wp14:pctWidth>
          </wp14:sizeRelH>
          <wp14:sizeRelV relativeFrom="page">
            <wp14:pctHeight>0</wp14:pctHeight>
          </wp14:sizeRelV>
        </wp:anchor>
      </w:drawing>
    </w:r>
    <w:r w:rsidR="004814FE">
      <w:tab/>
    </w:r>
    <w:r w:rsidR="004814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26D778"/>
    <w:lvl w:ilvl="0">
      <w:start w:val="1"/>
      <w:numFmt w:val="decimal"/>
      <w:lvlText w:val="%1."/>
      <w:lvlJc w:val="left"/>
      <w:pPr>
        <w:tabs>
          <w:tab w:val="num" w:pos="1492"/>
        </w:tabs>
        <w:ind w:left="1492" w:hanging="360"/>
      </w:pPr>
    </w:lvl>
  </w:abstractNum>
  <w:abstractNum w:abstractNumId="1">
    <w:nsid w:val="FFFFFF7D"/>
    <w:multiLevelType w:val="singleLevel"/>
    <w:tmpl w:val="CCE64A8A"/>
    <w:lvl w:ilvl="0">
      <w:start w:val="1"/>
      <w:numFmt w:val="decimal"/>
      <w:lvlText w:val="%1."/>
      <w:lvlJc w:val="left"/>
      <w:pPr>
        <w:tabs>
          <w:tab w:val="num" w:pos="1209"/>
        </w:tabs>
        <w:ind w:left="1209" w:hanging="360"/>
      </w:pPr>
    </w:lvl>
  </w:abstractNum>
  <w:abstractNum w:abstractNumId="2">
    <w:nsid w:val="FFFFFF7E"/>
    <w:multiLevelType w:val="singleLevel"/>
    <w:tmpl w:val="C8249822"/>
    <w:lvl w:ilvl="0">
      <w:start w:val="1"/>
      <w:numFmt w:val="decimal"/>
      <w:lvlText w:val="%1."/>
      <w:lvlJc w:val="left"/>
      <w:pPr>
        <w:tabs>
          <w:tab w:val="num" w:pos="926"/>
        </w:tabs>
        <w:ind w:left="926" w:hanging="360"/>
      </w:pPr>
    </w:lvl>
  </w:abstractNum>
  <w:abstractNum w:abstractNumId="3">
    <w:nsid w:val="FFFFFF7F"/>
    <w:multiLevelType w:val="singleLevel"/>
    <w:tmpl w:val="4AE256FE"/>
    <w:lvl w:ilvl="0">
      <w:start w:val="1"/>
      <w:numFmt w:val="decimal"/>
      <w:lvlText w:val="%1."/>
      <w:lvlJc w:val="left"/>
      <w:pPr>
        <w:tabs>
          <w:tab w:val="num" w:pos="643"/>
        </w:tabs>
        <w:ind w:left="643" w:hanging="360"/>
      </w:pPr>
    </w:lvl>
  </w:abstractNum>
  <w:abstractNum w:abstractNumId="4">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B235C6"/>
    <w:lvl w:ilvl="0">
      <w:start w:val="1"/>
      <w:numFmt w:val="decimal"/>
      <w:lvlText w:val="%1."/>
      <w:lvlJc w:val="left"/>
      <w:pPr>
        <w:tabs>
          <w:tab w:val="num" w:pos="360"/>
        </w:tabs>
        <w:ind w:left="360" w:hanging="360"/>
      </w:pPr>
    </w:lvl>
  </w:abstractNum>
  <w:abstractNum w:abstractNumId="9">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13">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2A"/>
    <w:rsid w:val="0000217B"/>
    <w:rsid w:val="0002465E"/>
    <w:rsid w:val="000414D7"/>
    <w:rsid w:val="00057503"/>
    <w:rsid w:val="000A2604"/>
    <w:rsid w:val="000E098F"/>
    <w:rsid w:val="00111236"/>
    <w:rsid w:val="001255F8"/>
    <w:rsid w:val="001439C4"/>
    <w:rsid w:val="001608F7"/>
    <w:rsid w:val="001641DC"/>
    <w:rsid w:val="00176EB9"/>
    <w:rsid w:val="00190426"/>
    <w:rsid w:val="00202115"/>
    <w:rsid w:val="0022136C"/>
    <w:rsid w:val="00235868"/>
    <w:rsid w:val="002425A2"/>
    <w:rsid w:val="002639BF"/>
    <w:rsid w:val="002817D4"/>
    <w:rsid w:val="00296498"/>
    <w:rsid w:val="002D2CE9"/>
    <w:rsid w:val="002D67BC"/>
    <w:rsid w:val="00310B52"/>
    <w:rsid w:val="00323C11"/>
    <w:rsid w:val="00347050"/>
    <w:rsid w:val="0035295E"/>
    <w:rsid w:val="003A6F43"/>
    <w:rsid w:val="00414210"/>
    <w:rsid w:val="00435045"/>
    <w:rsid w:val="004814FE"/>
    <w:rsid w:val="004E180E"/>
    <w:rsid w:val="004E5115"/>
    <w:rsid w:val="0051525A"/>
    <w:rsid w:val="00526943"/>
    <w:rsid w:val="0055037C"/>
    <w:rsid w:val="005746DB"/>
    <w:rsid w:val="00585858"/>
    <w:rsid w:val="00590925"/>
    <w:rsid w:val="005B38B8"/>
    <w:rsid w:val="005D33D9"/>
    <w:rsid w:val="005F1737"/>
    <w:rsid w:val="005F6B0F"/>
    <w:rsid w:val="00603371"/>
    <w:rsid w:val="00624DF5"/>
    <w:rsid w:val="00625569"/>
    <w:rsid w:val="0064609C"/>
    <w:rsid w:val="00663C6F"/>
    <w:rsid w:val="00676871"/>
    <w:rsid w:val="00680909"/>
    <w:rsid w:val="006865FA"/>
    <w:rsid w:val="00697ACA"/>
    <w:rsid w:val="006B27D4"/>
    <w:rsid w:val="00704328"/>
    <w:rsid w:val="00777B44"/>
    <w:rsid w:val="007E4209"/>
    <w:rsid w:val="007F2C41"/>
    <w:rsid w:val="00816F68"/>
    <w:rsid w:val="008331E2"/>
    <w:rsid w:val="0086477C"/>
    <w:rsid w:val="008748DB"/>
    <w:rsid w:val="00896328"/>
    <w:rsid w:val="00897592"/>
    <w:rsid w:val="008B2AEA"/>
    <w:rsid w:val="008B4FC5"/>
    <w:rsid w:val="008E122C"/>
    <w:rsid w:val="008F433E"/>
    <w:rsid w:val="009253B3"/>
    <w:rsid w:val="00954885"/>
    <w:rsid w:val="00981B68"/>
    <w:rsid w:val="009E7DBF"/>
    <w:rsid w:val="00A2733F"/>
    <w:rsid w:val="00A32763"/>
    <w:rsid w:val="00A43915"/>
    <w:rsid w:val="00A563B1"/>
    <w:rsid w:val="00A75373"/>
    <w:rsid w:val="00A92994"/>
    <w:rsid w:val="00AD444F"/>
    <w:rsid w:val="00B03F37"/>
    <w:rsid w:val="00B2080B"/>
    <w:rsid w:val="00B4301B"/>
    <w:rsid w:val="00B53361"/>
    <w:rsid w:val="00B6589C"/>
    <w:rsid w:val="00B73D4F"/>
    <w:rsid w:val="00B778EA"/>
    <w:rsid w:val="00B91692"/>
    <w:rsid w:val="00BC65E2"/>
    <w:rsid w:val="00BE2342"/>
    <w:rsid w:val="00C46E88"/>
    <w:rsid w:val="00C67686"/>
    <w:rsid w:val="00CC18A1"/>
    <w:rsid w:val="00CD6B5D"/>
    <w:rsid w:val="00CD734D"/>
    <w:rsid w:val="00CE2CAF"/>
    <w:rsid w:val="00CE40CE"/>
    <w:rsid w:val="00D35F8F"/>
    <w:rsid w:val="00D40206"/>
    <w:rsid w:val="00DB1AC0"/>
    <w:rsid w:val="00DB382A"/>
    <w:rsid w:val="00DE146D"/>
    <w:rsid w:val="00DE2A53"/>
    <w:rsid w:val="00E00E2E"/>
    <w:rsid w:val="00E03525"/>
    <w:rsid w:val="00E13916"/>
    <w:rsid w:val="00E24D23"/>
    <w:rsid w:val="00E27039"/>
    <w:rsid w:val="00E374EA"/>
    <w:rsid w:val="00E50F43"/>
    <w:rsid w:val="00E81396"/>
    <w:rsid w:val="00E95C4C"/>
    <w:rsid w:val="00EA6271"/>
    <w:rsid w:val="00EB71F5"/>
    <w:rsid w:val="00EC38AD"/>
    <w:rsid w:val="00F0386E"/>
    <w:rsid w:val="00F04E8D"/>
    <w:rsid w:val="00F241EF"/>
    <w:rsid w:val="00F63B0D"/>
    <w:rsid w:val="00F75471"/>
    <w:rsid w:val="00F84063"/>
    <w:rsid w:val="00FB04A8"/>
    <w:rsid w:val="00FB7451"/>
    <w:rsid w:val="00FF1A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17C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1255F8"/>
    <w:pPr>
      <w:spacing w:line="240" w:lineRule="auto"/>
      <w:jc w:val="right"/>
    </w:pPr>
  </w:style>
  <w:style w:type="character" w:customStyle="1" w:styleId="HeaderChar">
    <w:name w:val="Header Char"/>
    <w:basedOn w:val="DefaultParagraphFont"/>
    <w:link w:val="Header"/>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character" w:styleId="CommentReference">
    <w:name w:val="annotation reference"/>
    <w:basedOn w:val="DefaultParagraphFont"/>
    <w:semiHidden/>
    <w:unhideWhenUsed/>
    <w:rsid w:val="00E50F43"/>
    <w:rPr>
      <w:sz w:val="16"/>
      <w:szCs w:val="16"/>
    </w:rPr>
  </w:style>
  <w:style w:type="paragraph" w:styleId="CommentText">
    <w:name w:val="annotation text"/>
    <w:basedOn w:val="Normal"/>
    <w:link w:val="CommentTextChar"/>
    <w:unhideWhenUsed/>
    <w:rsid w:val="00E50F43"/>
    <w:pPr>
      <w:spacing w:line="240" w:lineRule="auto"/>
    </w:pPr>
    <w:rPr>
      <w:sz w:val="20"/>
      <w:szCs w:val="20"/>
    </w:rPr>
  </w:style>
  <w:style w:type="character" w:customStyle="1" w:styleId="CommentTextChar">
    <w:name w:val="Comment Text Char"/>
    <w:basedOn w:val="DefaultParagraphFont"/>
    <w:link w:val="CommentText"/>
    <w:rsid w:val="00E50F43"/>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E50F43"/>
    <w:rPr>
      <w:b/>
      <w:bCs/>
    </w:rPr>
  </w:style>
  <w:style w:type="character" w:customStyle="1" w:styleId="CommentSubjectChar">
    <w:name w:val="Comment Subject Char"/>
    <w:basedOn w:val="CommentTextChar"/>
    <w:link w:val="CommentSubject"/>
    <w:semiHidden/>
    <w:rsid w:val="00E50F43"/>
    <w:rPr>
      <w:rFonts w:asciiTheme="minorHAnsi" w:hAnsiTheme="minorHAnsi"/>
      <w:b/>
      <w:bCs/>
      <w:lang w:eastAsia="en-US"/>
    </w:rPr>
  </w:style>
  <w:style w:type="table" w:styleId="TableGrid">
    <w:name w:val="Table Grid"/>
    <w:basedOn w:val="TableNormal"/>
    <w:rsid w:val="00E50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3B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1255F8"/>
    <w:pPr>
      <w:spacing w:line="240" w:lineRule="auto"/>
      <w:jc w:val="right"/>
    </w:pPr>
  </w:style>
  <w:style w:type="character" w:customStyle="1" w:styleId="HeaderChar">
    <w:name w:val="Header Char"/>
    <w:basedOn w:val="DefaultParagraphFont"/>
    <w:link w:val="Header"/>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character" w:styleId="CommentReference">
    <w:name w:val="annotation reference"/>
    <w:basedOn w:val="DefaultParagraphFont"/>
    <w:semiHidden/>
    <w:unhideWhenUsed/>
    <w:rsid w:val="00E50F43"/>
    <w:rPr>
      <w:sz w:val="16"/>
      <w:szCs w:val="16"/>
    </w:rPr>
  </w:style>
  <w:style w:type="paragraph" w:styleId="CommentText">
    <w:name w:val="annotation text"/>
    <w:basedOn w:val="Normal"/>
    <w:link w:val="CommentTextChar"/>
    <w:unhideWhenUsed/>
    <w:rsid w:val="00E50F43"/>
    <w:pPr>
      <w:spacing w:line="240" w:lineRule="auto"/>
    </w:pPr>
    <w:rPr>
      <w:sz w:val="20"/>
      <w:szCs w:val="20"/>
    </w:rPr>
  </w:style>
  <w:style w:type="character" w:customStyle="1" w:styleId="CommentTextChar">
    <w:name w:val="Comment Text Char"/>
    <w:basedOn w:val="DefaultParagraphFont"/>
    <w:link w:val="CommentText"/>
    <w:rsid w:val="00E50F43"/>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E50F43"/>
    <w:rPr>
      <w:b/>
      <w:bCs/>
    </w:rPr>
  </w:style>
  <w:style w:type="character" w:customStyle="1" w:styleId="CommentSubjectChar">
    <w:name w:val="Comment Subject Char"/>
    <w:basedOn w:val="CommentTextChar"/>
    <w:link w:val="CommentSubject"/>
    <w:semiHidden/>
    <w:rsid w:val="00E50F43"/>
    <w:rPr>
      <w:rFonts w:asciiTheme="minorHAnsi" w:hAnsiTheme="minorHAnsi"/>
      <w:b/>
      <w:bCs/>
      <w:lang w:eastAsia="en-US"/>
    </w:rPr>
  </w:style>
  <w:style w:type="table" w:styleId="TableGrid">
    <w:name w:val="Table Grid"/>
    <w:basedOn w:val="TableNormal"/>
    <w:rsid w:val="00E50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3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2779">
      <w:bodyDiv w:val="1"/>
      <w:marLeft w:val="0"/>
      <w:marRight w:val="0"/>
      <w:marTop w:val="0"/>
      <w:marBottom w:val="0"/>
      <w:divBdr>
        <w:top w:val="none" w:sz="0" w:space="0" w:color="auto"/>
        <w:left w:val="none" w:sz="0" w:space="0" w:color="auto"/>
        <w:bottom w:val="none" w:sz="0" w:space="0" w:color="auto"/>
        <w:right w:val="none" w:sz="0" w:space="0" w:color="auto"/>
      </w:divBdr>
    </w:div>
    <w:div w:id="15070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E6C1-2EBA-4B6C-B862-9C4DACE2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2245</Words>
  <Characters>10642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Frost Emma (Banes CCG)</cp:lastModifiedBy>
  <cp:revision>3</cp:revision>
  <dcterms:created xsi:type="dcterms:W3CDTF">2020-10-01T12:56:00Z</dcterms:created>
  <dcterms:modified xsi:type="dcterms:W3CDTF">2020-10-01T12:58:00Z</dcterms:modified>
</cp:coreProperties>
</file>