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6CA13" w14:textId="6A3EDA21" w:rsidR="009E49D7" w:rsidRDefault="00724E70" w:rsidP="0075431E">
      <w:pPr>
        <w:ind w:left="-567"/>
      </w:pPr>
      <w:r>
        <w:rPr>
          <w:noProof/>
        </w:rPr>
        <w:drawing>
          <wp:inline distT="0" distB="0" distL="0" distR="0" wp14:anchorId="0843155C" wp14:editId="27044EAD">
            <wp:extent cx="4524499" cy="774969"/>
            <wp:effectExtent l="0" t="0" r="0" b="6350"/>
            <wp:docPr id="1" name="Picture 1" descr="Graphical user interface, application, chat or text message&#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chat or text message&#10;&#10;Description automatically generated">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13272" cy="790174"/>
                    </a:xfrm>
                    <a:prstGeom prst="rect">
                      <a:avLst/>
                    </a:prstGeom>
                  </pic:spPr>
                </pic:pic>
              </a:graphicData>
            </a:graphic>
          </wp:inline>
        </w:drawing>
      </w:r>
    </w:p>
    <w:p w14:paraId="36A1D6C6" w14:textId="77777777" w:rsidR="00F309B0" w:rsidRPr="00DD006A" w:rsidRDefault="00F309B0" w:rsidP="61A9F1BE">
      <w:pPr>
        <w:jc w:val="center"/>
      </w:pPr>
    </w:p>
    <w:p w14:paraId="2C7ED4FC" w14:textId="2A2747EC" w:rsidR="009E49D7" w:rsidRPr="00854807" w:rsidRDefault="00B25B06" w:rsidP="427DE297">
      <w:pPr>
        <w:jc w:val="both"/>
        <w:rPr>
          <w:b/>
          <w:bCs/>
          <w:sz w:val="24"/>
          <w:szCs w:val="24"/>
          <w:u w:val="single"/>
        </w:rPr>
      </w:pPr>
      <w:r w:rsidRPr="00854807">
        <w:rPr>
          <w:b/>
          <w:bCs/>
          <w:sz w:val="24"/>
          <w:szCs w:val="24"/>
          <w:u w:val="single"/>
        </w:rPr>
        <w:t xml:space="preserve">Frailty </w:t>
      </w:r>
      <w:r w:rsidR="00DD006A" w:rsidRPr="00854807">
        <w:rPr>
          <w:b/>
          <w:bCs/>
          <w:sz w:val="24"/>
          <w:szCs w:val="24"/>
          <w:u w:val="single"/>
        </w:rPr>
        <w:t xml:space="preserve">Service - </w:t>
      </w:r>
      <w:r w:rsidRPr="00854807">
        <w:rPr>
          <w:b/>
          <w:bCs/>
          <w:sz w:val="24"/>
          <w:szCs w:val="24"/>
          <w:u w:val="single"/>
        </w:rPr>
        <w:t>Standard Operating Procedure.</w:t>
      </w:r>
    </w:p>
    <w:p w14:paraId="18BD8511" w14:textId="216FFEBA" w:rsidR="00DD006A" w:rsidRPr="00854807" w:rsidRDefault="00DD006A" w:rsidP="00CA4246">
      <w:pPr>
        <w:jc w:val="both"/>
        <w:rPr>
          <w:sz w:val="24"/>
          <w:szCs w:val="24"/>
        </w:rPr>
      </w:pPr>
      <w:r w:rsidRPr="00854807">
        <w:rPr>
          <w:sz w:val="24"/>
          <w:szCs w:val="24"/>
        </w:rPr>
        <w:t xml:space="preserve">The purpose of this Standard Operating Procedure (SOP) is to define the establishment of a Frailty Service within the Great Western Hospital (GWH) Primary Care Network (PCN). </w:t>
      </w:r>
    </w:p>
    <w:p w14:paraId="39A69586" w14:textId="77777777" w:rsidR="00DD006A" w:rsidRPr="00854807" w:rsidRDefault="00DD006A" w:rsidP="00CA4246">
      <w:pPr>
        <w:jc w:val="both"/>
        <w:rPr>
          <w:sz w:val="24"/>
          <w:szCs w:val="24"/>
        </w:rPr>
      </w:pPr>
      <w:r w:rsidRPr="00854807">
        <w:rPr>
          <w:b/>
          <w:sz w:val="24"/>
          <w:szCs w:val="24"/>
          <w:u w:val="single"/>
        </w:rPr>
        <w:t>Service Definition</w:t>
      </w:r>
      <w:r w:rsidR="00E46796" w:rsidRPr="00854807">
        <w:rPr>
          <w:b/>
          <w:sz w:val="24"/>
          <w:szCs w:val="24"/>
          <w:u w:val="single"/>
        </w:rPr>
        <w:t>:</w:t>
      </w:r>
    </w:p>
    <w:p w14:paraId="738C0740" w14:textId="1ED50ED9" w:rsidR="00DD006A" w:rsidRPr="00854807" w:rsidRDefault="00DD006A" w:rsidP="6DA3397F">
      <w:pPr>
        <w:jc w:val="both"/>
        <w:rPr>
          <w:b/>
          <w:bCs/>
          <w:sz w:val="24"/>
          <w:szCs w:val="24"/>
          <w:u w:val="single"/>
        </w:rPr>
      </w:pPr>
      <w:r w:rsidRPr="00854807">
        <w:rPr>
          <w:sz w:val="24"/>
          <w:szCs w:val="24"/>
        </w:rPr>
        <w:t xml:space="preserve">Frailty service is a planned proactive service maintaining the health and wellbeing of people living with frailty. The service will be managed by a suitably qualified and experienced Advanced Clinical Practitioner who will directly report clinically to Dr </w:t>
      </w:r>
      <w:proofErr w:type="spellStart"/>
      <w:r w:rsidRPr="00854807">
        <w:rPr>
          <w:sz w:val="24"/>
          <w:szCs w:val="24"/>
        </w:rPr>
        <w:t>Pattni</w:t>
      </w:r>
      <w:proofErr w:type="spellEnd"/>
      <w:r w:rsidRPr="00854807">
        <w:rPr>
          <w:sz w:val="24"/>
          <w:szCs w:val="24"/>
        </w:rPr>
        <w:t xml:space="preserve">, and operationally to </w:t>
      </w:r>
      <w:r w:rsidR="43A88064" w:rsidRPr="00854807">
        <w:rPr>
          <w:sz w:val="24"/>
          <w:szCs w:val="24"/>
        </w:rPr>
        <w:t>Tori Mitchell Lead Nurse Mental Health and Vulnerable Communities</w:t>
      </w:r>
      <w:r w:rsidRPr="00854807">
        <w:rPr>
          <w:sz w:val="24"/>
          <w:szCs w:val="24"/>
        </w:rPr>
        <w:t>.  A monthly update will be provided to these individuals on service development along with any operational issues</w:t>
      </w:r>
      <w:r w:rsidR="27185EC8" w:rsidRPr="00854807">
        <w:rPr>
          <w:sz w:val="24"/>
          <w:szCs w:val="24"/>
        </w:rPr>
        <w:t>.</w:t>
      </w:r>
    </w:p>
    <w:p w14:paraId="41E14DE3" w14:textId="3BC406E3" w:rsidR="00DD006A" w:rsidRPr="00854807" w:rsidRDefault="00DD006A" w:rsidP="6DA3397F">
      <w:pPr>
        <w:jc w:val="both"/>
        <w:rPr>
          <w:b/>
          <w:bCs/>
          <w:sz w:val="24"/>
          <w:szCs w:val="24"/>
          <w:u w:val="single"/>
        </w:rPr>
      </w:pPr>
      <w:r w:rsidRPr="00854807">
        <w:rPr>
          <w:b/>
          <w:bCs/>
          <w:sz w:val="24"/>
          <w:szCs w:val="24"/>
          <w:u w:val="single"/>
        </w:rPr>
        <w:t>Introduction</w:t>
      </w:r>
      <w:r w:rsidR="00E46796" w:rsidRPr="00854807">
        <w:rPr>
          <w:b/>
          <w:bCs/>
          <w:sz w:val="24"/>
          <w:szCs w:val="24"/>
          <w:u w:val="single"/>
        </w:rPr>
        <w:t>:</w:t>
      </w:r>
    </w:p>
    <w:p w14:paraId="4E5F3A0A" w14:textId="6193895B" w:rsidR="00724E70" w:rsidRPr="00854807" w:rsidRDefault="1D8F3ED7" w:rsidP="005F22C4">
      <w:pPr>
        <w:jc w:val="both"/>
        <w:rPr>
          <w:sz w:val="24"/>
          <w:szCs w:val="24"/>
        </w:rPr>
      </w:pPr>
      <w:r w:rsidRPr="00854807">
        <w:rPr>
          <w:sz w:val="24"/>
          <w:szCs w:val="24"/>
        </w:rPr>
        <w:t xml:space="preserve">Frailty can be considered as a long-term health condition characterised by loss of physical, </w:t>
      </w:r>
      <w:proofErr w:type="gramStart"/>
      <w:r w:rsidRPr="00854807">
        <w:rPr>
          <w:sz w:val="24"/>
          <w:szCs w:val="24"/>
        </w:rPr>
        <w:t>emotional</w:t>
      </w:r>
      <w:proofErr w:type="gramEnd"/>
      <w:r w:rsidRPr="00854807">
        <w:rPr>
          <w:sz w:val="24"/>
          <w:szCs w:val="24"/>
        </w:rPr>
        <w:t xml:space="preserve"> and cognitive resilience as a result of the accumulation of multiple health deficits. Frailty is progressive, typically erodes functional, cognitive and/or emotional reserves and increases vulnerability to sudden loss of independence and </w:t>
      </w:r>
      <w:r w:rsidR="41072211" w:rsidRPr="00854807">
        <w:rPr>
          <w:sz w:val="24"/>
          <w:szCs w:val="24"/>
        </w:rPr>
        <w:t xml:space="preserve">unpredictable deterioration </w:t>
      </w:r>
      <w:r w:rsidRPr="00854807">
        <w:rPr>
          <w:sz w:val="24"/>
          <w:szCs w:val="24"/>
        </w:rPr>
        <w:t>following a comparatively minor stressor event such as an acute infection</w:t>
      </w:r>
      <w:r w:rsidR="70949EAE" w:rsidRPr="00854807">
        <w:rPr>
          <w:sz w:val="24"/>
          <w:szCs w:val="24"/>
        </w:rPr>
        <w:t xml:space="preserve">, new </w:t>
      </w:r>
      <w:proofErr w:type="gramStart"/>
      <w:r w:rsidR="70949EAE" w:rsidRPr="00854807">
        <w:rPr>
          <w:sz w:val="24"/>
          <w:szCs w:val="24"/>
        </w:rPr>
        <w:t>medication</w:t>
      </w:r>
      <w:proofErr w:type="gramEnd"/>
      <w:r w:rsidR="70949EAE" w:rsidRPr="00854807">
        <w:rPr>
          <w:sz w:val="24"/>
          <w:szCs w:val="24"/>
        </w:rPr>
        <w:t xml:space="preserve"> or constipation</w:t>
      </w:r>
      <w:r w:rsidRPr="00854807">
        <w:rPr>
          <w:sz w:val="24"/>
          <w:szCs w:val="24"/>
        </w:rPr>
        <w:t>.</w:t>
      </w:r>
      <w:r w:rsidR="41072211" w:rsidRPr="00854807">
        <w:rPr>
          <w:sz w:val="24"/>
          <w:szCs w:val="24"/>
        </w:rPr>
        <w:t xml:space="preserve"> </w:t>
      </w:r>
      <w:r w:rsidRPr="00854807">
        <w:rPr>
          <w:sz w:val="24"/>
          <w:szCs w:val="24"/>
        </w:rPr>
        <w:t>While severe frailty can be comparatively easy to recognise and diagnose, lesser degrees of frailty may be more difficult to differentiate from normal ageing</w:t>
      </w:r>
      <w:r w:rsidR="736E6373" w:rsidRPr="00854807">
        <w:rPr>
          <w:sz w:val="24"/>
          <w:szCs w:val="24"/>
        </w:rPr>
        <w:t xml:space="preserve"> (The General Practice Frailty Toolkit 2017)</w:t>
      </w:r>
      <w:r w:rsidRPr="00854807">
        <w:rPr>
          <w:sz w:val="24"/>
          <w:szCs w:val="24"/>
        </w:rPr>
        <w:t>.</w:t>
      </w:r>
      <w:r w:rsidR="70EEADBF" w:rsidRPr="00854807">
        <w:rPr>
          <w:sz w:val="24"/>
          <w:szCs w:val="24"/>
        </w:rPr>
        <w:t xml:space="preserve"> If frailty goes unrecognised the adverse consequences for the health and wellbeing of the older person may be severe</w:t>
      </w:r>
      <w:r w:rsidR="41F49953" w:rsidRPr="00854807">
        <w:rPr>
          <w:sz w:val="24"/>
          <w:szCs w:val="24"/>
        </w:rPr>
        <w:t xml:space="preserve"> (BGS 2015)</w:t>
      </w:r>
      <w:r w:rsidR="70EEADBF" w:rsidRPr="00854807">
        <w:rPr>
          <w:sz w:val="24"/>
          <w:szCs w:val="24"/>
        </w:rPr>
        <w:t>.</w:t>
      </w:r>
    </w:p>
    <w:p w14:paraId="5457F45B" w14:textId="6D7DB170" w:rsidR="00F309B0" w:rsidRDefault="00DD006A" w:rsidP="00CA4246">
      <w:pPr>
        <w:jc w:val="both"/>
        <w:rPr>
          <w:noProof/>
          <w:sz w:val="24"/>
          <w:szCs w:val="24"/>
        </w:rPr>
      </w:pPr>
      <w:r w:rsidRPr="00854807">
        <w:rPr>
          <w:sz w:val="24"/>
          <w:szCs w:val="24"/>
        </w:rPr>
        <w:t>People living with severe frailty comprise around 3% of the population aged 65 and older in England. For moderate frailty it is 12% of those aged 65 and older and 35% for mild frailty. These individuals are frequent users of services across health and social care and are particularly vulnerable to adverse outcomes, in particular health outcomes such as unplanned admissions to hospital, care home admission, acquisition of new disability or death</w:t>
      </w:r>
      <w:r w:rsidR="00C604FB" w:rsidRPr="00854807">
        <w:rPr>
          <w:sz w:val="24"/>
          <w:szCs w:val="24"/>
        </w:rPr>
        <w:t xml:space="preserve"> (The General Practice Frailty Toolkit 2017)</w:t>
      </w:r>
      <w:r w:rsidRPr="00854807">
        <w:rPr>
          <w:sz w:val="24"/>
          <w:szCs w:val="24"/>
        </w:rPr>
        <w:t>.</w:t>
      </w:r>
      <w:r w:rsidR="00854807" w:rsidRPr="00854807">
        <w:rPr>
          <w:noProof/>
          <w:sz w:val="24"/>
          <w:szCs w:val="24"/>
        </w:rPr>
        <w:t xml:space="preserve"> </w:t>
      </w:r>
    </w:p>
    <w:p w14:paraId="29438088" w14:textId="35B2E1CA" w:rsidR="00DD006A" w:rsidRPr="00854807" w:rsidRDefault="00854807" w:rsidP="0075431E">
      <w:pPr>
        <w:ind w:left="-851"/>
        <w:rPr>
          <w:sz w:val="24"/>
          <w:szCs w:val="24"/>
        </w:rPr>
      </w:pPr>
      <w:r>
        <w:rPr>
          <w:noProof/>
        </w:rPr>
        <w:drawing>
          <wp:inline distT="0" distB="0" distL="0" distR="0" wp14:anchorId="5AFE5BCD" wp14:editId="75C9A0FC">
            <wp:extent cx="4009900" cy="1010538"/>
            <wp:effectExtent l="0" t="0" r="0" b="0"/>
            <wp:docPr id="3" name="Picture 3" descr="Diagram&#10;&#10;Description automatically generated with low confiden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4009900" cy="1010538"/>
                    </a:xfrm>
                    <a:prstGeom prst="rect">
                      <a:avLst/>
                    </a:prstGeom>
                  </pic:spPr>
                </pic:pic>
              </a:graphicData>
            </a:graphic>
          </wp:inline>
        </w:drawing>
      </w:r>
    </w:p>
    <w:p w14:paraId="13128D8D" w14:textId="5DF45D50" w:rsidR="1713CC34" w:rsidRDefault="1713CC34" w:rsidP="1713CC34">
      <w:pPr>
        <w:jc w:val="both"/>
        <w:rPr>
          <w:b/>
          <w:bCs/>
          <w:sz w:val="24"/>
          <w:szCs w:val="24"/>
          <w:u w:val="single"/>
        </w:rPr>
      </w:pPr>
    </w:p>
    <w:p w14:paraId="3BDE5953" w14:textId="77777777" w:rsidR="00DD006A" w:rsidRPr="00854807" w:rsidRDefault="00DD006A" w:rsidP="00CA4246">
      <w:pPr>
        <w:jc w:val="both"/>
        <w:rPr>
          <w:b/>
          <w:sz w:val="24"/>
          <w:szCs w:val="24"/>
          <w:u w:val="single"/>
        </w:rPr>
      </w:pPr>
      <w:r w:rsidRPr="00854807">
        <w:rPr>
          <w:b/>
          <w:sz w:val="24"/>
          <w:szCs w:val="24"/>
          <w:u w:val="single"/>
        </w:rPr>
        <w:t>Key personnel and responsibilities</w:t>
      </w:r>
      <w:r w:rsidR="00E46796" w:rsidRPr="00854807">
        <w:rPr>
          <w:b/>
          <w:sz w:val="24"/>
          <w:szCs w:val="24"/>
          <w:u w:val="single"/>
        </w:rPr>
        <w:t>:</w:t>
      </w:r>
    </w:p>
    <w:p w14:paraId="5C159519" w14:textId="77777777" w:rsidR="00DD006A" w:rsidRPr="00854807" w:rsidRDefault="00DD006A" w:rsidP="00CA4246">
      <w:pPr>
        <w:jc w:val="both"/>
        <w:rPr>
          <w:sz w:val="24"/>
          <w:szCs w:val="24"/>
        </w:rPr>
      </w:pPr>
      <w:r w:rsidRPr="00854807">
        <w:rPr>
          <w:sz w:val="24"/>
          <w:szCs w:val="24"/>
        </w:rPr>
        <w:t>All GWH PCN clinical and administrative staff are potentially going to be involved in contact with homes, however, the following is the defined list of key personal and responsibilities where noted:</w:t>
      </w:r>
    </w:p>
    <w:p w14:paraId="4305D904" w14:textId="0EA79355" w:rsidR="00DD006A" w:rsidRPr="00854807" w:rsidRDefault="00DD006A" w:rsidP="00CA4246">
      <w:pPr>
        <w:ind w:left="720" w:hanging="720"/>
        <w:jc w:val="both"/>
        <w:rPr>
          <w:sz w:val="24"/>
          <w:szCs w:val="24"/>
        </w:rPr>
      </w:pPr>
      <w:r w:rsidRPr="00854807">
        <w:rPr>
          <w:sz w:val="24"/>
          <w:szCs w:val="24"/>
        </w:rPr>
        <w:t>a.</w:t>
      </w:r>
      <w:r w:rsidRPr="00854807">
        <w:rPr>
          <w:sz w:val="24"/>
          <w:szCs w:val="24"/>
        </w:rPr>
        <w:tab/>
      </w:r>
      <w:r w:rsidR="00A27384" w:rsidRPr="00854807">
        <w:rPr>
          <w:sz w:val="24"/>
          <w:szCs w:val="24"/>
        </w:rPr>
        <w:t>Victoria Lawson</w:t>
      </w:r>
      <w:r w:rsidR="00405048" w:rsidRPr="00854807">
        <w:rPr>
          <w:sz w:val="24"/>
          <w:szCs w:val="24"/>
        </w:rPr>
        <w:t xml:space="preserve"> </w:t>
      </w:r>
      <w:r w:rsidRPr="00854807">
        <w:rPr>
          <w:sz w:val="24"/>
          <w:szCs w:val="24"/>
        </w:rPr>
        <w:t>– Advanced Clinical Practitioner</w:t>
      </w:r>
      <w:r w:rsidR="00405048" w:rsidRPr="00854807">
        <w:rPr>
          <w:sz w:val="24"/>
          <w:szCs w:val="24"/>
        </w:rPr>
        <w:t xml:space="preserve"> (Trainee)</w:t>
      </w:r>
      <w:r w:rsidRPr="00854807">
        <w:rPr>
          <w:sz w:val="24"/>
          <w:szCs w:val="24"/>
        </w:rPr>
        <w:t>, Lead for GWH PCN Frailty service</w:t>
      </w:r>
    </w:p>
    <w:p w14:paraId="55484117" w14:textId="7A531A61" w:rsidR="00E21220" w:rsidRPr="00854807" w:rsidRDefault="00E21220" w:rsidP="00CA4246">
      <w:pPr>
        <w:ind w:left="720" w:hanging="720"/>
        <w:jc w:val="both"/>
        <w:rPr>
          <w:sz w:val="24"/>
          <w:szCs w:val="24"/>
        </w:rPr>
      </w:pPr>
      <w:r w:rsidRPr="00854807">
        <w:rPr>
          <w:sz w:val="24"/>
          <w:szCs w:val="24"/>
        </w:rPr>
        <w:t xml:space="preserve">b. </w:t>
      </w:r>
      <w:r w:rsidRPr="00854807">
        <w:rPr>
          <w:sz w:val="24"/>
          <w:szCs w:val="24"/>
        </w:rPr>
        <w:tab/>
        <w:t>Stephen Paul – Advanced Clinical Practitioner GWH PCN Frailty service</w:t>
      </w:r>
    </w:p>
    <w:p w14:paraId="52634EBC" w14:textId="5589F3EF" w:rsidR="00DD006A" w:rsidRPr="00854807" w:rsidRDefault="00E21220" w:rsidP="00CA4246">
      <w:pPr>
        <w:jc w:val="both"/>
        <w:rPr>
          <w:sz w:val="24"/>
          <w:szCs w:val="24"/>
        </w:rPr>
      </w:pPr>
      <w:r w:rsidRPr="00854807">
        <w:rPr>
          <w:sz w:val="24"/>
          <w:szCs w:val="24"/>
        </w:rPr>
        <w:t>c</w:t>
      </w:r>
      <w:r w:rsidR="00DD006A" w:rsidRPr="00854807">
        <w:rPr>
          <w:sz w:val="24"/>
          <w:szCs w:val="24"/>
        </w:rPr>
        <w:t>.</w:t>
      </w:r>
      <w:r w:rsidRPr="00854807">
        <w:rPr>
          <w:sz w:val="24"/>
          <w:szCs w:val="24"/>
        </w:rPr>
        <w:tab/>
      </w:r>
      <w:r w:rsidR="00DD006A" w:rsidRPr="00854807">
        <w:rPr>
          <w:sz w:val="24"/>
          <w:szCs w:val="24"/>
        </w:rPr>
        <w:t xml:space="preserve">Dr Gautam </w:t>
      </w:r>
      <w:proofErr w:type="spellStart"/>
      <w:r w:rsidR="00DD006A" w:rsidRPr="00854807">
        <w:rPr>
          <w:sz w:val="24"/>
          <w:szCs w:val="24"/>
        </w:rPr>
        <w:t>Pattni</w:t>
      </w:r>
      <w:proofErr w:type="spellEnd"/>
      <w:r w:rsidR="00DD006A" w:rsidRPr="00854807">
        <w:rPr>
          <w:sz w:val="24"/>
          <w:szCs w:val="24"/>
        </w:rPr>
        <w:t xml:space="preserve"> - General Practitioner, Clinical Lead</w:t>
      </w:r>
    </w:p>
    <w:p w14:paraId="6D03D7B7" w14:textId="74E722F3" w:rsidR="225C89B4" w:rsidRPr="00854807" w:rsidRDefault="225C89B4" w:rsidP="4205281F">
      <w:pPr>
        <w:jc w:val="both"/>
        <w:rPr>
          <w:sz w:val="24"/>
          <w:szCs w:val="24"/>
        </w:rPr>
      </w:pPr>
      <w:r w:rsidRPr="00854807">
        <w:rPr>
          <w:sz w:val="24"/>
          <w:szCs w:val="24"/>
        </w:rPr>
        <w:t>d.</w:t>
      </w:r>
      <w:r w:rsidRPr="00854807">
        <w:rPr>
          <w:sz w:val="24"/>
          <w:szCs w:val="24"/>
        </w:rPr>
        <w:tab/>
        <w:t>Tori Mitchell</w:t>
      </w:r>
      <w:r w:rsidR="24118B6B" w:rsidRPr="00854807">
        <w:rPr>
          <w:sz w:val="24"/>
          <w:szCs w:val="24"/>
        </w:rPr>
        <w:t xml:space="preserve"> – </w:t>
      </w:r>
      <w:r w:rsidRPr="00854807">
        <w:rPr>
          <w:sz w:val="24"/>
          <w:szCs w:val="24"/>
        </w:rPr>
        <w:t>Lead</w:t>
      </w:r>
      <w:r w:rsidR="24118B6B" w:rsidRPr="00854807">
        <w:rPr>
          <w:sz w:val="24"/>
          <w:szCs w:val="24"/>
        </w:rPr>
        <w:t xml:space="preserve"> Nurse Mental Health and Vulnerable Communities</w:t>
      </w:r>
    </w:p>
    <w:p w14:paraId="44C4415C" w14:textId="664A05D3" w:rsidR="00DD006A" w:rsidRPr="00854807" w:rsidRDefault="10158B6B" w:rsidP="00CA4246">
      <w:pPr>
        <w:ind w:left="720" w:hanging="720"/>
        <w:jc w:val="both"/>
        <w:rPr>
          <w:sz w:val="24"/>
          <w:szCs w:val="24"/>
        </w:rPr>
      </w:pPr>
      <w:r w:rsidRPr="00854807">
        <w:rPr>
          <w:sz w:val="24"/>
          <w:szCs w:val="24"/>
        </w:rPr>
        <w:t>e</w:t>
      </w:r>
      <w:r w:rsidR="00DD006A" w:rsidRPr="00854807">
        <w:rPr>
          <w:sz w:val="24"/>
          <w:szCs w:val="24"/>
        </w:rPr>
        <w:t>.</w:t>
      </w:r>
      <w:r w:rsidR="00E21220" w:rsidRPr="00854807">
        <w:rPr>
          <w:sz w:val="24"/>
          <w:szCs w:val="24"/>
        </w:rPr>
        <w:tab/>
      </w:r>
      <w:r w:rsidR="00DD006A" w:rsidRPr="00854807">
        <w:rPr>
          <w:sz w:val="24"/>
          <w:szCs w:val="24"/>
        </w:rPr>
        <w:t>GWH PCN Pharmacists and Pharmacy Technicians - Support to MDT and clinical lead for medicines optimisation</w:t>
      </w:r>
    </w:p>
    <w:p w14:paraId="4660DAA9" w14:textId="61B4EBE6" w:rsidR="00DD006A" w:rsidRPr="00854807" w:rsidRDefault="53A42E9E" w:rsidP="68D41585">
      <w:pPr>
        <w:ind w:left="720" w:hanging="720"/>
        <w:jc w:val="both"/>
        <w:rPr>
          <w:sz w:val="24"/>
          <w:szCs w:val="24"/>
        </w:rPr>
      </w:pPr>
      <w:r w:rsidRPr="00854807">
        <w:rPr>
          <w:sz w:val="24"/>
          <w:szCs w:val="24"/>
        </w:rPr>
        <w:t>f</w:t>
      </w:r>
      <w:r w:rsidR="00DD006A" w:rsidRPr="00854807">
        <w:rPr>
          <w:sz w:val="24"/>
          <w:szCs w:val="24"/>
        </w:rPr>
        <w:t>.</w:t>
      </w:r>
      <w:r w:rsidR="00DD006A" w:rsidRPr="00854807">
        <w:rPr>
          <w:sz w:val="24"/>
          <w:szCs w:val="24"/>
        </w:rPr>
        <w:tab/>
        <w:t xml:space="preserve">Community </w:t>
      </w:r>
      <w:r w:rsidR="3A849FD1" w:rsidRPr="00854807">
        <w:rPr>
          <w:sz w:val="24"/>
          <w:szCs w:val="24"/>
        </w:rPr>
        <w:t>Clinical Leads</w:t>
      </w:r>
      <w:r w:rsidR="00DD006A" w:rsidRPr="00854807">
        <w:rPr>
          <w:sz w:val="24"/>
          <w:szCs w:val="24"/>
        </w:rPr>
        <w:t>/COPD/Therapy – Moredon and Abbey Meads Multi-disciplinary team involvement for co-ordinated case management</w:t>
      </w:r>
    </w:p>
    <w:p w14:paraId="0CB17065" w14:textId="77777777" w:rsidR="00E46796" w:rsidRPr="00854807" w:rsidRDefault="00B25B06" w:rsidP="00CA4246">
      <w:pPr>
        <w:jc w:val="both"/>
        <w:rPr>
          <w:b/>
          <w:sz w:val="24"/>
          <w:szCs w:val="24"/>
          <w:u w:val="single"/>
        </w:rPr>
      </w:pPr>
      <w:r w:rsidRPr="00854807">
        <w:rPr>
          <w:b/>
          <w:sz w:val="24"/>
          <w:szCs w:val="24"/>
          <w:u w:val="single"/>
        </w:rPr>
        <w:t>Aim</w:t>
      </w:r>
      <w:r w:rsidR="00073C49" w:rsidRPr="00854807">
        <w:rPr>
          <w:b/>
          <w:sz w:val="24"/>
          <w:szCs w:val="24"/>
          <w:u w:val="single"/>
        </w:rPr>
        <w:t>s</w:t>
      </w:r>
      <w:r w:rsidR="00E46796" w:rsidRPr="00854807">
        <w:rPr>
          <w:b/>
          <w:sz w:val="24"/>
          <w:szCs w:val="24"/>
          <w:u w:val="single"/>
        </w:rPr>
        <w:t xml:space="preserve"> of the service:</w:t>
      </w:r>
    </w:p>
    <w:p w14:paraId="1FCE08E9" w14:textId="4CA09933" w:rsidR="00343103" w:rsidRPr="00854807" w:rsidRDefault="00343103" w:rsidP="00CA4246">
      <w:pPr>
        <w:pStyle w:val="ListParagraph"/>
        <w:numPr>
          <w:ilvl w:val="0"/>
          <w:numId w:val="2"/>
        </w:numPr>
        <w:jc w:val="both"/>
        <w:rPr>
          <w:sz w:val="24"/>
          <w:szCs w:val="24"/>
        </w:rPr>
      </w:pPr>
      <w:r w:rsidRPr="00854807">
        <w:rPr>
          <w:sz w:val="24"/>
          <w:szCs w:val="24"/>
        </w:rPr>
        <w:t>To identify those living with frailty within the PCN</w:t>
      </w:r>
    </w:p>
    <w:p w14:paraId="0E3194DB" w14:textId="6F90C477" w:rsidR="00B25B06" w:rsidRPr="00854807" w:rsidRDefault="00B25B06" w:rsidP="00CA4246">
      <w:pPr>
        <w:pStyle w:val="ListParagraph"/>
        <w:numPr>
          <w:ilvl w:val="0"/>
          <w:numId w:val="2"/>
        </w:numPr>
        <w:jc w:val="both"/>
        <w:rPr>
          <w:sz w:val="24"/>
          <w:szCs w:val="24"/>
        </w:rPr>
      </w:pPr>
      <w:r w:rsidRPr="00854807">
        <w:rPr>
          <w:sz w:val="24"/>
          <w:szCs w:val="24"/>
        </w:rPr>
        <w:t xml:space="preserve">To </w:t>
      </w:r>
      <w:r w:rsidR="00BD175A" w:rsidRPr="00854807">
        <w:rPr>
          <w:sz w:val="24"/>
          <w:szCs w:val="24"/>
        </w:rPr>
        <w:t>support the elderly to</w:t>
      </w:r>
      <w:r w:rsidRPr="00854807">
        <w:rPr>
          <w:sz w:val="24"/>
          <w:szCs w:val="24"/>
        </w:rPr>
        <w:t xml:space="preserve"> age healthier</w:t>
      </w:r>
      <w:r w:rsidR="00460BD0" w:rsidRPr="00854807">
        <w:rPr>
          <w:sz w:val="24"/>
          <w:szCs w:val="24"/>
        </w:rPr>
        <w:t>, reducing progression of frailty and risks associated with it where possible</w:t>
      </w:r>
      <w:r w:rsidRPr="00854807">
        <w:rPr>
          <w:sz w:val="24"/>
          <w:szCs w:val="24"/>
        </w:rPr>
        <w:t xml:space="preserve">. To support them to make informed choices as to their health and welfare. </w:t>
      </w:r>
    </w:p>
    <w:p w14:paraId="1F2857F3" w14:textId="5E067850" w:rsidR="00E46796" w:rsidRPr="00854807" w:rsidRDefault="00E46796" w:rsidP="00CA4246">
      <w:pPr>
        <w:pStyle w:val="ListParagraph"/>
        <w:numPr>
          <w:ilvl w:val="0"/>
          <w:numId w:val="2"/>
        </w:numPr>
        <w:jc w:val="both"/>
        <w:rPr>
          <w:sz w:val="24"/>
          <w:szCs w:val="24"/>
        </w:rPr>
      </w:pPr>
      <w:r w:rsidRPr="00854807">
        <w:rPr>
          <w:sz w:val="24"/>
          <w:szCs w:val="24"/>
        </w:rPr>
        <w:t>To attend MDT and work coll</w:t>
      </w:r>
      <w:r w:rsidR="00BD175A" w:rsidRPr="00854807">
        <w:rPr>
          <w:sz w:val="24"/>
          <w:szCs w:val="24"/>
        </w:rPr>
        <w:t>aboratively with community teams to support elderly and carers.</w:t>
      </w:r>
    </w:p>
    <w:p w14:paraId="69C2B634" w14:textId="0EE8AE14" w:rsidR="00B25B06" w:rsidRPr="00854807" w:rsidRDefault="00B25B06" w:rsidP="00CA4246">
      <w:pPr>
        <w:pStyle w:val="ListParagraph"/>
        <w:numPr>
          <w:ilvl w:val="0"/>
          <w:numId w:val="2"/>
        </w:numPr>
        <w:jc w:val="both"/>
        <w:rPr>
          <w:sz w:val="24"/>
          <w:szCs w:val="24"/>
        </w:rPr>
      </w:pPr>
      <w:r w:rsidRPr="00854807">
        <w:rPr>
          <w:sz w:val="24"/>
          <w:szCs w:val="24"/>
        </w:rPr>
        <w:t>Reduce</w:t>
      </w:r>
      <w:r w:rsidR="00460BD0" w:rsidRPr="00854807">
        <w:rPr>
          <w:sz w:val="24"/>
          <w:szCs w:val="24"/>
        </w:rPr>
        <w:t xml:space="preserve"> emergency</w:t>
      </w:r>
      <w:r w:rsidRPr="00854807">
        <w:rPr>
          <w:sz w:val="24"/>
          <w:szCs w:val="24"/>
        </w:rPr>
        <w:t xml:space="preserve"> hospital admission</w:t>
      </w:r>
      <w:r w:rsidR="001D4FC3" w:rsidRPr="00854807">
        <w:rPr>
          <w:sz w:val="24"/>
          <w:szCs w:val="24"/>
        </w:rPr>
        <w:t>, readmission</w:t>
      </w:r>
      <w:r w:rsidRPr="00854807">
        <w:rPr>
          <w:sz w:val="24"/>
          <w:szCs w:val="24"/>
        </w:rPr>
        <w:t xml:space="preserve"> and try </w:t>
      </w:r>
      <w:r w:rsidR="00460BD0" w:rsidRPr="00854807">
        <w:rPr>
          <w:sz w:val="24"/>
          <w:szCs w:val="24"/>
        </w:rPr>
        <w:t>to</w:t>
      </w:r>
      <w:r w:rsidRPr="00854807">
        <w:rPr>
          <w:sz w:val="24"/>
          <w:szCs w:val="24"/>
        </w:rPr>
        <w:t xml:space="preserve"> reduce care burden.</w:t>
      </w:r>
    </w:p>
    <w:p w14:paraId="6DD4DA2E" w14:textId="48221397" w:rsidR="00F10385" w:rsidRPr="00854807" w:rsidRDefault="00F10385" w:rsidP="00CA4246">
      <w:pPr>
        <w:pStyle w:val="ListParagraph"/>
        <w:numPr>
          <w:ilvl w:val="0"/>
          <w:numId w:val="2"/>
        </w:numPr>
        <w:jc w:val="both"/>
        <w:rPr>
          <w:sz w:val="24"/>
          <w:szCs w:val="24"/>
        </w:rPr>
      </w:pPr>
      <w:r w:rsidRPr="00854807">
        <w:rPr>
          <w:sz w:val="24"/>
          <w:szCs w:val="24"/>
        </w:rPr>
        <w:t>To provide annual dementia health checks and home visits</w:t>
      </w:r>
      <w:r w:rsidR="00460BD0" w:rsidRPr="00854807">
        <w:rPr>
          <w:sz w:val="24"/>
          <w:szCs w:val="24"/>
        </w:rPr>
        <w:t xml:space="preserve"> or face to face appointments.</w:t>
      </w:r>
    </w:p>
    <w:p w14:paraId="5E566E6E" w14:textId="656BB4B2" w:rsidR="00343103" w:rsidRPr="00854807" w:rsidRDefault="00343103" w:rsidP="00CA4246">
      <w:pPr>
        <w:pStyle w:val="ListParagraph"/>
        <w:numPr>
          <w:ilvl w:val="0"/>
          <w:numId w:val="2"/>
        </w:numPr>
        <w:jc w:val="both"/>
        <w:rPr>
          <w:sz w:val="24"/>
          <w:szCs w:val="24"/>
        </w:rPr>
      </w:pPr>
      <w:r w:rsidRPr="00854807">
        <w:rPr>
          <w:sz w:val="24"/>
          <w:szCs w:val="24"/>
        </w:rPr>
        <w:t>To identify those likely to be within their last year of life and support them to plan for their future needs.</w:t>
      </w:r>
    </w:p>
    <w:p w14:paraId="0E2F1C2D" w14:textId="5496F441" w:rsidR="005B066B" w:rsidRPr="00854807" w:rsidRDefault="005B066B" w:rsidP="005B066B">
      <w:pPr>
        <w:pStyle w:val="ListParagraph"/>
        <w:numPr>
          <w:ilvl w:val="0"/>
          <w:numId w:val="2"/>
        </w:numPr>
        <w:rPr>
          <w:sz w:val="24"/>
          <w:szCs w:val="24"/>
        </w:rPr>
      </w:pPr>
      <w:r w:rsidRPr="00854807">
        <w:rPr>
          <w:sz w:val="24"/>
          <w:szCs w:val="24"/>
        </w:rPr>
        <w:t xml:space="preserve">Develop shared care and support plans by involving older people living with frailty, their </w:t>
      </w:r>
      <w:proofErr w:type="gramStart"/>
      <w:r w:rsidRPr="00854807">
        <w:rPr>
          <w:sz w:val="24"/>
          <w:szCs w:val="24"/>
        </w:rPr>
        <w:t>families</w:t>
      </w:r>
      <w:proofErr w:type="gramEnd"/>
      <w:r w:rsidRPr="00854807">
        <w:rPr>
          <w:sz w:val="24"/>
          <w:szCs w:val="24"/>
        </w:rPr>
        <w:t xml:space="preserve"> and carers throughout all stages of progression.</w:t>
      </w:r>
    </w:p>
    <w:p w14:paraId="23C1C6B3" w14:textId="0FF994F8" w:rsidR="009C123A" w:rsidRPr="00854807" w:rsidRDefault="005B066B" w:rsidP="009C123A">
      <w:pPr>
        <w:pStyle w:val="ListParagraph"/>
        <w:numPr>
          <w:ilvl w:val="0"/>
          <w:numId w:val="2"/>
        </w:numPr>
        <w:jc w:val="both"/>
        <w:rPr>
          <w:sz w:val="24"/>
          <w:szCs w:val="24"/>
        </w:rPr>
      </w:pPr>
      <w:r w:rsidRPr="00854807">
        <w:rPr>
          <w:sz w:val="24"/>
          <w:szCs w:val="24"/>
        </w:rPr>
        <w:t>Early identification and treatment of Delirium.</w:t>
      </w:r>
    </w:p>
    <w:p w14:paraId="4A966082" w14:textId="629DCF40" w:rsidR="68D41585" w:rsidRDefault="68D41585" w:rsidP="68D41585">
      <w:pPr>
        <w:jc w:val="both"/>
        <w:rPr>
          <w:sz w:val="24"/>
          <w:szCs w:val="24"/>
        </w:rPr>
      </w:pPr>
    </w:p>
    <w:p w14:paraId="12E7E0BF" w14:textId="77777777" w:rsidR="00854807" w:rsidRPr="00854807" w:rsidRDefault="00854807" w:rsidP="68D41585">
      <w:pPr>
        <w:jc w:val="both"/>
        <w:rPr>
          <w:sz w:val="24"/>
          <w:szCs w:val="24"/>
        </w:rPr>
      </w:pPr>
    </w:p>
    <w:p w14:paraId="25200B2F" w14:textId="77777777" w:rsidR="00B25B06" w:rsidRPr="00854807" w:rsidRDefault="00E46796" w:rsidP="00CA4246">
      <w:pPr>
        <w:jc w:val="both"/>
        <w:rPr>
          <w:b/>
          <w:sz w:val="24"/>
          <w:szCs w:val="24"/>
          <w:u w:val="single"/>
        </w:rPr>
      </w:pPr>
      <w:r w:rsidRPr="00854807">
        <w:rPr>
          <w:b/>
          <w:sz w:val="24"/>
          <w:szCs w:val="24"/>
          <w:u w:val="single"/>
        </w:rPr>
        <w:t>Identification of Patients</w:t>
      </w:r>
      <w:r w:rsidR="00F10385" w:rsidRPr="00854807">
        <w:rPr>
          <w:b/>
          <w:sz w:val="24"/>
          <w:szCs w:val="24"/>
          <w:u w:val="single"/>
        </w:rPr>
        <w:t xml:space="preserve"> (1</w:t>
      </w:r>
      <w:r w:rsidR="00F10385" w:rsidRPr="00854807">
        <w:rPr>
          <w:b/>
          <w:sz w:val="24"/>
          <w:szCs w:val="24"/>
          <w:u w:val="single"/>
          <w:vertAlign w:val="superscript"/>
        </w:rPr>
        <w:t>st</w:t>
      </w:r>
      <w:r w:rsidR="00F10385" w:rsidRPr="00854807">
        <w:rPr>
          <w:b/>
          <w:sz w:val="24"/>
          <w:szCs w:val="24"/>
          <w:u w:val="single"/>
        </w:rPr>
        <w:t xml:space="preserve"> stream)</w:t>
      </w:r>
      <w:r w:rsidRPr="00854807">
        <w:rPr>
          <w:b/>
          <w:sz w:val="24"/>
          <w:szCs w:val="24"/>
          <w:u w:val="single"/>
        </w:rPr>
        <w:t>:</w:t>
      </w: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3"/>
      </w:tblGrid>
      <w:tr w:rsidR="00735A65" w:rsidRPr="00854807" w14:paraId="24F8FBFA" w14:textId="77777777" w:rsidTr="4205281F">
        <w:trPr>
          <w:trHeight w:val="2595"/>
        </w:trPr>
        <w:tc>
          <w:tcPr>
            <w:tcW w:w="9163" w:type="dxa"/>
          </w:tcPr>
          <w:p w14:paraId="5959D6F3" w14:textId="0B1696CB" w:rsidR="00735A65" w:rsidRPr="00854807" w:rsidRDefault="00735A65" w:rsidP="00CA4246">
            <w:pPr>
              <w:pStyle w:val="ListParagraph"/>
              <w:numPr>
                <w:ilvl w:val="0"/>
                <w:numId w:val="4"/>
              </w:numPr>
              <w:jc w:val="both"/>
              <w:rPr>
                <w:sz w:val="24"/>
                <w:szCs w:val="24"/>
              </w:rPr>
            </w:pPr>
            <w:r w:rsidRPr="00854807">
              <w:rPr>
                <w:sz w:val="24"/>
                <w:szCs w:val="24"/>
              </w:rPr>
              <w:lastRenderedPageBreak/>
              <w:t xml:space="preserve">Patients referred by Practice staff/ community staff/ pharmacy/ </w:t>
            </w:r>
            <w:proofErr w:type="spellStart"/>
            <w:r w:rsidRPr="00854807">
              <w:rPr>
                <w:sz w:val="24"/>
                <w:szCs w:val="24"/>
              </w:rPr>
              <w:t>self refer</w:t>
            </w:r>
            <w:proofErr w:type="spellEnd"/>
            <w:r w:rsidRPr="00854807">
              <w:rPr>
                <w:sz w:val="24"/>
                <w:szCs w:val="24"/>
              </w:rPr>
              <w:t xml:space="preserve"> </w:t>
            </w:r>
            <w:r w:rsidR="00BD175A" w:rsidRPr="00854807">
              <w:rPr>
                <w:sz w:val="24"/>
                <w:szCs w:val="24"/>
              </w:rPr>
              <w:t xml:space="preserve">/ relatives </w:t>
            </w:r>
            <w:r w:rsidRPr="00854807">
              <w:rPr>
                <w:sz w:val="24"/>
                <w:szCs w:val="24"/>
              </w:rPr>
              <w:t>with area of concern.</w:t>
            </w:r>
          </w:p>
          <w:p w14:paraId="60CC800D" w14:textId="452C76AA" w:rsidR="00460BD0" w:rsidRPr="00854807" w:rsidRDefault="00460BD0" w:rsidP="00460BD0">
            <w:pPr>
              <w:pStyle w:val="ListParagraph"/>
              <w:numPr>
                <w:ilvl w:val="0"/>
                <w:numId w:val="4"/>
              </w:numPr>
              <w:jc w:val="both"/>
              <w:rPr>
                <w:sz w:val="24"/>
                <w:szCs w:val="24"/>
              </w:rPr>
            </w:pPr>
            <w:r w:rsidRPr="00854807">
              <w:rPr>
                <w:sz w:val="24"/>
                <w:szCs w:val="24"/>
              </w:rPr>
              <w:t>Age 65 and over</w:t>
            </w:r>
            <w:r w:rsidR="00E0308A" w:rsidRPr="00854807">
              <w:rPr>
                <w:sz w:val="24"/>
                <w:szCs w:val="24"/>
              </w:rPr>
              <w:t xml:space="preserve"> with one of the following: </w:t>
            </w:r>
            <w:bookmarkStart w:id="0" w:name="_Hlk90991895"/>
            <w:r w:rsidR="00E0308A" w:rsidRPr="00854807">
              <w:rPr>
                <w:sz w:val="24"/>
                <w:szCs w:val="24"/>
              </w:rPr>
              <w:t>frequent falls, sudden change to mobility, dementia, acute confusion, Parkinson’s, 4 or more long term conditions</w:t>
            </w:r>
          </w:p>
          <w:bookmarkEnd w:id="0"/>
          <w:p w14:paraId="55D12336" w14:textId="52081407" w:rsidR="00E0308A" w:rsidRPr="00854807" w:rsidRDefault="00E0308A" w:rsidP="00460BD0">
            <w:pPr>
              <w:pStyle w:val="ListParagraph"/>
              <w:numPr>
                <w:ilvl w:val="0"/>
                <w:numId w:val="4"/>
              </w:numPr>
              <w:jc w:val="both"/>
              <w:rPr>
                <w:sz w:val="24"/>
                <w:szCs w:val="24"/>
              </w:rPr>
            </w:pPr>
            <w:r w:rsidRPr="00854807">
              <w:rPr>
                <w:sz w:val="24"/>
                <w:szCs w:val="24"/>
              </w:rPr>
              <w:t>All people aged over 85</w:t>
            </w:r>
          </w:p>
          <w:p w14:paraId="7CA39D98" w14:textId="6F0BEE9B" w:rsidR="00460BD0" w:rsidRPr="00854807" w:rsidRDefault="00460BD0" w:rsidP="00460BD0">
            <w:pPr>
              <w:pStyle w:val="ListParagraph"/>
              <w:numPr>
                <w:ilvl w:val="0"/>
                <w:numId w:val="4"/>
              </w:numPr>
              <w:jc w:val="both"/>
              <w:rPr>
                <w:sz w:val="24"/>
                <w:szCs w:val="24"/>
              </w:rPr>
            </w:pPr>
            <w:r w:rsidRPr="00854807">
              <w:rPr>
                <w:sz w:val="24"/>
                <w:szCs w:val="24"/>
              </w:rPr>
              <w:t xml:space="preserve">Rockwood score </w:t>
            </w:r>
            <w:r w:rsidR="00A27384" w:rsidRPr="00854807">
              <w:rPr>
                <w:sz w:val="24"/>
                <w:szCs w:val="24"/>
              </w:rPr>
              <w:t>5</w:t>
            </w:r>
            <w:r w:rsidR="7A7C566F" w:rsidRPr="00854807">
              <w:rPr>
                <w:sz w:val="24"/>
                <w:szCs w:val="24"/>
              </w:rPr>
              <w:t xml:space="preserve"> or above</w:t>
            </w:r>
          </w:p>
          <w:p w14:paraId="66494C17" w14:textId="2D8F2989" w:rsidR="00735A65" w:rsidRPr="00854807" w:rsidRDefault="00A27384" w:rsidP="00E0308A">
            <w:pPr>
              <w:pStyle w:val="ListParagraph"/>
              <w:numPr>
                <w:ilvl w:val="0"/>
                <w:numId w:val="4"/>
              </w:numPr>
              <w:jc w:val="both"/>
              <w:rPr>
                <w:sz w:val="24"/>
                <w:szCs w:val="24"/>
              </w:rPr>
            </w:pPr>
            <w:r w:rsidRPr="00854807">
              <w:rPr>
                <w:sz w:val="24"/>
                <w:szCs w:val="24"/>
              </w:rPr>
              <w:t>Referral via task or team email.</w:t>
            </w:r>
          </w:p>
        </w:tc>
      </w:tr>
    </w:tbl>
    <w:p w14:paraId="7EE775B1" w14:textId="77777777" w:rsidR="00572681" w:rsidRPr="00854807" w:rsidRDefault="00572681" w:rsidP="00CA4246">
      <w:pPr>
        <w:jc w:val="both"/>
        <w:rPr>
          <w:sz w:val="24"/>
          <w:szCs w:val="24"/>
        </w:rPr>
      </w:pPr>
    </w:p>
    <w:p w14:paraId="109AF945" w14:textId="77777777" w:rsidR="00735A65" w:rsidRPr="00854807" w:rsidRDefault="00BD175A" w:rsidP="00CA4246">
      <w:pPr>
        <w:jc w:val="both"/>
        <w:rPr>
          <w:b/>
          <w:sz w:val="24"/>
          <w:szCs w:val="24"/>
          <w:u w:val="single"/>
        </w:rPr>
      </w:pPr>
      <w:r w:rsidRPr="00854807">
        <w:rPr>
          <w:b/>
          <w:sz w:val="24"/>
          <w:szCs w:val="24"/>
          <w:u w:val="single"/>
        </w:rPr>
        <w:t>I</w:t>
      </w:r>
      <w:r w:rsidR="00E46796" w:rsidRPr="00854807">
        <w:rPr>
          <w:b/>
          <w:sz w:val="24"/>
          <w:szCs w:val="24"/>
          <w:u w:val="single"/>
        </w:rPr>
        <w:t>dentification of Patients (</w:t>
      </w:r>
      <w:r w:rsidR="00735A65" w:rsidRPr="00854807">
        <w:rPr>
          <w:b/>
          <w:sz w:val="24"/>
          <w:szCs w:val="24"/>
          <w:u w:val="single"/>
        </w:rPr>
        <w:t>2</w:t>
      </w:r>
      <w:r w:rsidR="00735A65" w:rsidRPr="00854807">
        <w:rPr>
          <w:b/>
          <w:sz w:val="24"/>
          <w:szCs w:val="24"/>
          <w:u w:val="single"/>
          <w:vertAlign w:val="superscript"/>
        </w:rPr>
        <w:t>nd</w:t>
      </w:r>
      <w:r w:rsidR="00E46796" w:rsidRPr="00854807">
        <w:rPr>
          <w:b/>
          <w:sz w:val="24"/>
          <w:szCs w:val="24"/>
          <w:u w:val="single"/>
        </w:rPr>
        <w:t xml:space="preserve"> stream):</w:t>
      </w: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4"/>
      </w:tblGrid>
      <w:tr w:rsidR="00735A65" w:rsidRPr="00854807" w14:paraId="6219F938" w14:textId="77777777" w:rsidTr="00E46796">
        <w:trPr>
          <w:trHeight w:val="2621"/>
        </w:trPr>
        <w:tc>
          <w:tcPr>
            <w:tcW w:w="9134" w:type="dxa"/>
          </w:tcPr>
          <w:p w14:paraId="24598A2F" w14:textId="77777777" w:rsidR="00735A65" w:rsidRPr="00854807" w:rsidRDefault="00735A65" w:rsidP="00CA4246">
            <w:pPr>
              <w:pStyle w:val="ListParagraph"/>
              <w:numPr>
                <w:ilvl w:val="0"/>
                <w:numId w:val="3"/>
              </w:numPr>
              <w:jc w:val="both"/>
              <w:rPr>
                <w:sz w:val="24"/>
                <w:szCs w:val="24"/>
              </w:rPr>
            </w:pPr>
            <w:r w:rsidRPr="00854807">
              <w:rPr>
                <w:sz w:val="24"/>
                <w:szCs w:val="24"/>
              </w:rPr>
              <w:t>Discharge monitoring from GWH.</w:t>
            </w:r>
          </w:p>
          <w:p w14:paraId="1A16F6CE" w14:textId="7277508C" w:rsidR="00BD175A" w:rsidRPr="00854807" w:rsidRDefault="00BD175A" w:rsidP="00CA4246">
            <w:pPr>
              <w:pStyle w:val="ListParagraph"/>
              <w:numPr>
                <w:ilvl w:val="0"/>
                <w:numId w:val="3"/>
              </w:numPr>
              <w:jc w:val="both"/>
              <w:rPr>
                <w:sz w:val="24"/>
                <w:szCs w:val="24"/>
              </w:rPr>
            </w:pPr>
            <w:r w:rsidRPr="00854807">
              <w:rPr>
                <w:sz w:val="24"/>
                <w:szCs w:val="24"/>
              </w:rPr>
              <w:t xml:space="preserve">Review D/C over </w:t>
            </w:r>
            <w:r w:rsidR="00A27384" w:rsidRPr="00854807">
              <w:rPr>
                <w:sz w:val="24"/>
                <w:szCs w:val="24"/>
              </w:rPr>
              <w:t>65</w:t>
            </w:r>
            <w:r w:rsidRPr="00854807">
              <w:rPr>
                <w:sz w:val="24"/>
                <w:szCs w:val="24"/>
              </w:rPr>
              <w:t>.</w:t>
            </w:r>
            <w:r w:rsidR="007B5561" w:rsidRPr="00854807">
              <w:rPr>
                <w:color w:val="FF0000"/>
                <w:sz w:val="24"/>
                <w:szCs w:val="24"/>
              </w:rPr>
              <w:t xml:space="preserve"> </w:t>
            </w:r>
          </w:p>
          <w:p w14:paraId="7E070C7B" w14:textId="77777777" w:rsidR="00BD175A" w:rsidRPr="00854807" w:rsidRDefault="00BD175A" w:rsidP="00CA4246">
            <w:pPr>
              <w:pStyle w:val="ListParagraph"/>
              <w:numPr>
                <w:ilvl w:val="0"/>
                <w:numId w:val="3"/>
              </w:numPr>
              <w:jc w:val="both"/>
              <w:rPr>
                <w:sz w:val="24"/>
                <w:szCs w:val="24"/>
              </w:rPr>
            </w:pPr>
            <w:r w:rsidRPr="00854807">
              <w:rPr>
                <w:sz w:val="24"/>
                <w:szCs w:val="24"/>
              </w:rPr>
              <w:t>Logged onto spread sheet.</w:t>
            </w:r>
          </w:p>
          <w:p w14:paraId="6F76CE1B" w14:textId="6645DDD1" w:rsidR="00735A65" w:rsidRPr="00854807" w:rsidRDefault="00735A65" w:rsidP="00CA4246">
            <w:pPr>
              <w:pStyle w:val="ListParagraph"/>
              <w:numPr>
                <w:ilvl w:val="0"/>
                <w:numId w:val="3"/>
              </w:numPr>
              <w:jc w:val="both"/>
              <w:rPr>
                <w:sz w:val="24"/>
                <w:szCs w:val="24"/>
              </w:rPr>
            </w:pPr>
            <w:r w:rsidRPr="00854807">
              <w:rPr>
                <w:sz w:val="24"/>
                <w:szCs w:val="24"/>
              </w:rPr>
              <w:t xml:space="preserve">Identify frailty score from GWH- </w:t>
            </w:r>
            <w:r w:rsidR="00A27384" w:rsidRPr="00854807">
              <w:rPr>
                <w:sz w:val="24"/>
                <w:szCs w:val="24"/>
              </w:rPr>
              <w:t>5</w:t>
            </w:r>
            <w:r w:rsidRPr="00854807">
              <w:rPr>
                <w:sz w:val="24"/>
                <w:szCs w:val="24"/>
              </w:rPr>
              <w:t xml:space="preserve"> </w:t>
            </w:r>
            <w:r w:rsidR="00E46796" w:rsidRPr="00854807">
              <w:rPr>
                <w:sz w:val="24"/>
                <w:szCs w:val="24"/>
              </w:rPr>
              <w:t>and above – review notes</w:t>
            </w:r>
            <w:r w:rsidR="00460BD0" w:rsidRPr="00854807">
              <w:rPr>
                <w:sz w:val="24"/>
                <w:szCs w:val="24"/>
              </w:rPr>
              <w:t xml:space="preserve"> </w:t>
            </w:r>
          </w:p>
          <w:p w14:paraId="3262559C" w14:textId="58DECE7A" w:rsidR="005C5881" w:rsidRPr="00854807" w:rsidRDefault="005C5881" w:rsidP="005C5881">
            <w:pPr>
              <w:pStyle w:val="ListParagraph"/>
              <w:numPr>
                <w:ilvl w:val="0"/>
                <w:numId w:val="3"/>
              </w:numPr>
              <w:rPr>
                <w:sz w:val="24"/>
                <w:szCs w:val="24"/>
              </w:rPr>
            </w:pPr>
            <w:r w:rsidRPr="00854807">
              <w:rPr>
                <w:sz w:val="24"/>
                <w:szCs w:val="24"/>
              </w:rPr>
              <w:t xml:space="preserve">Routine frailty screening on </w:t>
            </w:r>
            <w:proofErr w:type="spellStart"/>
            <w:r w:rsidRPr="00854807">
              <w:rPr>
                <w:sz w:val="24"/>
                <w:szCs w:val="24"/>
              </w:rPr>
              <w:t>SystmOne</w:t>
            </w:r>
            <w:proofErr w:type="spellEnd"/>
            <w:r w:rsidRPr="00854807">
              <w:rPr>
                <w:sz w:val="24"/>
                <w:szCs w:val="24"/>
              </w:rPr>
              <w:t xml:space="preserve"> by clinicians when reviewing patients over 65, sc</w:t>
            </w:r>
            <w:r w:rsidR="005758F5" w:rsidRPr="00854807">
              <w:rPr>
                <w:sz w:val="24"/>
                <w:szCs w:val="24"/>
              </w:rPr>
              <w:t>o</w:t>
            </w:r>
            <w:r w:rsidRPr="00854807">
              <w:rPr>
                <w:sz w:val="24"/>
                <w:szCs w:val="24"/>
              </w:rPr>
              <w:t>re of 5 or more triggers referral to be reviewed by frailty team</w:t>
            </w:r>
          </w:p>
          <w:p w14:paraId="3BCDD2BA" w14:textId="77777777" w:rsidR="00735A65" w:rsidRPr="00854807" w:rsidRDefault="00735A65" w:rsidP="00CA4246">
            <w:pPr>
              <w:jc w:val="both"/>
              <w:rPr>
                <w:sz w:val="24"/>
                <w:szCs w:val="24"/>
              </w:rPr>
            </w:pPr>
          </w:p>
        </w:tc>
      </w:tr>
    </w:tbl>
    <w:p w14:paraId="197AB668" w14:textId="77777777" w:rsidR="00572681" w:rsidRPr="00854807" w:rsidRDefault="00572681" w:rsidP="00CA4246">
      <w:pPr>
        <w:jc w:val="both"/>
        <w:rPr>
          <w:sz w:val="24"/>
          <w:szCs w:val="24"/>
        </w:rPr>
      </w:pPr>
    </w:p>
    <w:p w14:paraId="13B47E30" w14:textId="77777777" w:rsidR="00D54C78" w:rsidRPr="00854807" w:rsidRDefault="00F10385" w:rsidP="00CA4246">
      <w:pPr>
        <w:jc w:val="both"/>
        <w:rPr>
          <w:b/>
          <w:sz w:val="24"/>
          <w:szCs w:val="24"/>
          <w:u w:val="single"/>
        </w:rPr>
      </w:pPr>
      <w:r w:rsidRPr="00854807">
        <w:rPr>
          <w:b/>
          <w:sz w:val="24"/>
          <w:szCs w:val="24"/>
          <w:u w:val="single"/>
        </w:rPr>
        <w:t xml:space="preserve">Follow-up and management of </w:t>
      </w:r>
      <w:proofErr w:type="gramStart"/>
      <w:r w:rsidRPr="00854807">
        <w:rPr>
          <w:b/>
          <w:sz w:val="24"/>
          <w:szCs w:val="24"/>
          <w:u w:val="single"/>
        </w:rPr>
        <w:t>Patients</w:t>
      </w:r>
      <w:proofErr w:type="gramEnd"/>
      <w:r w:rsidRPr="00854807">
        <w:rPr>
          <w:b/>
          <w:sz w:val="24"/>
          <w:szCs w:val="24"/>
          <w:u w:val="single"/>
        </w:rPr>
        <w:t xml:space="preserve"> (1</w:t>
      </w:r>
      <w:r w:rsidRPr="00854807">
        <w:rPr>
          <w:b/>
          <w:sz w:val="24"/>
          <w:szCs w:val="24"/>
          <w:u w:val="single"/>
          <w:vertAlign w:val="superscript"/>
        </w:rPr>
        <w:t>st</w:t>
      </w:r>
      <w:r w:rsidRPr="00854807">
        <w:rPr>
          <w:b/>
          <w:sz w:val="24"/>
          <w:szCs w:val="24"/>
          <w:u w:val="single"/>
        </w:rPr>
        <w:t xml:space="preserve"> Stream):</w:t>
      </w:r>
    </w:p>
    <w:p w14:paraId="0E59B914" w14:textId="747D10B4" w:rsidR="00F10385" w:rsidRPr="00854807" w:rsidRDefault="00F10385" w:rsidP="00CA4246">
      <w:pPr>
        <w:pStyle w:val="ListParagraph"/>
        <w:numPr>
          <w:ilvl w:val="0"/>
          <w:numId w:val="5"/>
        </w:numPr>
        <w:jc w:val="both"/>
        <w:rPr>
          <w:sz w:val="24"/>
          <w:szCs w:val="24"/>
        </w:rPr>
      </w:pPr>
      <w:r w:rsidRPr="00854807">
        <w:rPr>
          <w:sz w:val="24"/>
          <w:szCs w:val="24"/>
        </w:rPr>
        <w:t>Notes reviewed,</w:t>
      </w:r>
      <w:r w:rsidR="007B5561" w:rsidRPr="00854807">
        <w:rPr>
          <w:sz w:val="24"/>
          <w:szCs w:val="24"/>
        </w:rPr>
        <w:t xml:space="preserve"> </w:t>
      </w:r>
      <w:r w:rsidRPr="00854807">
        <w:rPr>
          <w:sz w:val="24"/>
          <w:szCs w:val="24"/>
        </w:rPr>
        <w:t>phone call by</w:t>
      </w:r>
      <w:r w:rsidR="007B5561" w:rsidRPr="00854807">
        <w:rPr>
          <w:sz w:val="24"/>
          <w:szCs w:val="24"/>
        </w:rPr>
        <w:t xml:space="preserve"> Frailty</w:t>
      </w:r>
      <w:r w:rsidRPr="00854807">
        <w:rPr>
          <w:sz w:val="24"/>
          <w:szCs w:val="24"/>
        </w:rPr>
        <w:t xml:space="preserve"> ACP and follow up visit booked if needed. </w:t>
      </w:r>
    </w:p>
    <w:p w14:paraId="231DEC3D" w14:textId="773F7D1F" w:rsidR="00F10385" w:rsidRPr="00854807" w:rsidRDefault="00F10385" w:rsidP="00CA4246">
      <w:pPr>
        <w:pStyle w:val="ListParagraph"/>
        <w:numPr>
          <w:ilvl w:val="0"/>
          <w:numId w:val="5"/>
        </w:numPr>
        <w:jc w:val="both"/>
        <w:rPr>
          <w:sz w:val="24"/>
          <w:szCs w:val="24"/>
        </w:rPr>
      </w:pPr>
      <w:r w:rsidRPr="00854807">
        <w:rPr>
          <w:sz w:val="24"/>
          <w:szCs w:val="24"/>
        </w:rPr>
        <w:t>Assessment</w:t>
      </w:r>
      <w:r w:rsidR="00E0308A" w:rsidRPr="00854807">
        <w:rPr>
          <w:sz w:val="24"/>
          <w:szCs w:val="24"/>
        </w:rPr>
        <w:t xml:space="preserve"> (CGA including falls risk</w:t>
      </w:r>
      <w:r w:rsidR="00FF2CFC" w:rsidRPr="00854807">
        <w:rPr>
          <w:sz w:val="24"/>
          <w:szCs w:val="24"/>
        </w:rPr>
        <w:t xml:space="preserve"> and 6CIT</w:t>
      </w:r>
      <w:r w:rsidR="00E0308A" w:rsidRPr="00854807">
        <w:rPr>
          <w:sz w:val="24"/>
          <w:szCs w:val="24"/>
        </w:rPr>
        <w:t xml:space="preserve"> for all those with moderate to severe frailty)</w:t>
      </w:r>
      <w:r w:rsidRPr="00854807">
        <w:rPr>
          <w:sz w:val="24"/>
          <w:szCs w:val="24"/>
        </w:rPr>
        <w:t xml:space="preserve"> and areas of concern addressed and actioned, onwards referrals arranged if needed. Logged onto spreadsheet</w:t>
      </w:r>
      <w:r w:rsidR="007B5561" w:rsidRPr="00854807">
        <w:rPr>
          <w:sz w:val="24"/>
          <w:szCs w:val="24"/>
        </w:rPr>
        <w:t xml:space="preserve"> and </w:t>
      </w:r>
      <w:proofErr w:type="spellStart"/>
      <w:r w:rsidR="007B5561" w:rsidRPr="00854807">
        <w:rPr>
          <w:sz w:val="24"/>
          <w:szCs w:val="24"/>
        </w:rPr>
        <w:t>SystmOne</w:t>
      </w:r>
      <w:proofErr w:type="spellEnd"/>
      <w:r w:rsidR="007B5561" w:rsidRPr="00854807">
        <w:rPr>
          <w:sz w:val="24"/>
          <w:szCs w:val="24"/>
        </w:rPr>
        <w:t xml:space="preserve"> using the Frailty consultation tab</w:t>
      </w:r>
      <w:r w:rsidRPr="00854807">
        <w:rPr>
          <w:sz w:val="24"/>
          <w:szCs w:val="24"/>
        </w:rPr>
        <w:t>.</w:t>
      </w:r>
    </w:p>
    <w:p w14:paraId="4DFCADEF" w14:textId="77777777" w:rsidR="00F10385" w:rsidRPr="00854807" w:rsidRDefault="00F10385" w:rsidP="68D41585">
      <w:pPr>
        <w:pStyle w:val="ListParagraph"/>
        <w:numPr>
          <w:ilvl w:val="0"/>
          <w:numId w:val="5"/>
        </w:numPr>
        <w:jc w:val="both"/>
        <w:rPr>
          <w:color w:val="000000" w:themeColor="text1"/>
          <w:sz w:val="24"/>
          <w:szCs w:val="24"/>
        </w:rPr>
      </w:pPr>
      <w:r w:rsidRPr="00854807">
        <w:rPr>
          <w:sz w:val="24"/>
          <w:szCs w:val="24"/>
        </w:rPr>
        <w:t>Follow up booked to review interventions.</w:t>
      </w:r>
    </w:p>
    <w:p w14:paraId="71A9987E" w14:textId="599C8D3C" w:rsidR="00F10385" w:rsidRPr="00854807" w:rsidRDefault="00F10385" w:rsidP="00CA4246">
      <w:pPr>
        <w:pStyle w:val="ListParagraph"/>
        <w:numPr>
          <w:ilvl w:val="0"/>
          <w:numId w:val="5"/>
        </w:numPr>
        <w:jc w:val="both"/>
        <w:rPr>
          <w:sz w:val="24"/>
          <w:szCs w:val="24"/>
          <w:u w:val="single"/>
        </w:rPr>
      </w:pPr>
      <w:r w:rsidRPr="00854807">
        <w:rPr>
          <w:sz w:val="24"/>
          <w:szCs w:val="24"/>
        </w:rPr>
        <w:t xml:space="preserve">If needing ongoing </w:t>
      </w:r>
      <w:r w:rsidR="00636C25" w:rsidRPr="00854807">
        <w:rPr>
          <w:sz w:val="24"/>
          <w:szCs w:val="24"/>
        </w:rPr>
        <w:t>support,</w:t>
      </w:r>
      <w:r w:rsidRPr="00854807">
        <w:rPr>
          <w:sz w:val="24"/>
          <w:szCs w:val="24"/>
        </w:rPr>
        <w:t xml:space="preserve"> then discuss with community </w:t>
      </w:r>
      <w:r w:rsidR="64E228A9" w:rsidRPr="00854807">
        <w:rPr>
          <w:sz w:val="24"/>
          <w:szCs w:val="24"/>
        </w:rPr>
        <w:t>clinical leads</w:t>
      </w:r>
      <w:r w:rsidR="2527B8C6" w:rsidRPr="00854807">
        <w:rPr>
          <w:sz w:val="24"/>
          <w:szCs w:val="24"/>
        </w:rPr>
        <w:t>.</w:t>
      </w:r>
      <w:r w:rsidRPr="00854807">
        <w:rPr>
          <w:color w:val="FF0000"/>
          <w:sz w:val="24"/>
          <w:szCs w:val="24"/>
        </w:rPr>
        <w:t xml:space="preserve"> </w:t>
      </w:r>
    </w:p>
    <w:p w14:paraId="0F56B64B" w14:textId="4E5234F5" w:rsidR="00D54C78" w:rsidRPr="00854807" w:rsidRDefault="007B5561" w:rsidP="00CA4246">
      <w:pPr>
        <w:pStyle w:val="ListParagraph"/>
        <w:numPr>
          <w:ilvl w:val="0"/>
          <w:numId w:val="5"/>
        </w:numPr>
        <w:jc w:val="both"/>
        <w:rPr>
          <w:sz w:val="24"/>
          <w:szCs w:val="24"/>
        </w:rPr>
      </w:pPr>
      <w:r w:rsidRPr="00854807">
        <w:rPr>
          <w:sz w:val="24"/>
          <w:szCs w:val="24"/>
        </w:rPr>
        <w:t>Those identified as severely frail require annual SMR</w:t>
      </w:r>
    </w:p>
    <w:p w14:paraId="70FD9EB9" w14:textId="1D8397B1" w:rsidR="54350DEB" w:rsidRPr="00854807" w:rsidRDefault="54350DEB" w:rsidP="54350DEB">
      <w:pPr>
        <w:jc w:val="both"/>
        <w:rPr>
          <w:sz w:val="24"/>
          <w:szCs w:val="24"/>
        </w:rPr>
      </w:pPr>
    </w:p>
    <w:p w14:paraId="5A945960" w14:textId="77777777" w:rsidR="00F10385" w:rsidRPr="00854807" w:rsidRDefault="00F10385" w:rsidP="00CA4246">
      <w:pPr>
        <w:jc w:val="both"/>
        <w:rPr>
          <w:b/>
          <w:sz w:val="24"/>
          <w:szCs w:val="24"/>
          <w:u w:val="single"/>
        </w:rPr>
      </w:pPr>
      <w:r w:rsidRPr="00854807">
        <w:rPr>
          <w:b/>
          <w:sz w:val="24"/>
          <w:szCs w:val="24"/>
          <w:u w:val="single"/>
        </w:rPr>
        <w:t xml:space="preserve">Follow-up and management of </w:t>
      </w:r>
      <w:proofErr w:type="gramStart"/>
      <w:r w:rsidRPr="00854807">
        <w:rPr>
          <w:b/>
          <w:sz w:val="24"/>
          <w:szCs w:val="24"/>
          <w:u w:val="single"/>
        </w:rPr>
        <w:t>Patients</w:t>
      </w:r>
      <w:proofErr w:type="gramEnd"/>
      <w:r w:rsidRPr="00854807">
        <w:rPr>
          <w:b/>
          <w:sz w:val="24"/>
          <w:szCs w:val="24"/>
          <w:u w:val="single"/>
        </w:rPr>
        <w:t xml:space="preserve"> (2nd Stream):</w:t>
      </w:r>
    </w:p>
    <w:p w14:paraId="0835AECA" w14:textId="77777777" w:rsidR="00E46796" w:rsidRPr="00854807" w:rsidRDefault="00F10385" w:rsidP="00CA4246">
      <w:pPr>
        <w:pStyle w:val="ListParagraph"/>
        <w:numPr>
          <w:ilvl w:val="0"/>
          <w:numId w:val="6"/>
        </w:numPr>
        <w:jc w:val="both"/>
        <w:rPr>
          <w:sz w:val="24"/>
          <w:szCs w:val="24"/>
        </w:rPr>
      </w:pPr>
      <w:r w:rsidRPr="00854807">
        <w:rPr>
          <w:sz w:val="24"/>
          <w:szCs w:val="24"/>
        </w:rPr>
        <w:t xml:space="preserve">Review if </w:t>
      </w:r>
      <w:r w:rsidR="00E46796" w:rsidRPr="00854807">
        <w:rPr>
          <w:sz w:val="24"/>
          <w:szCs w:val="24"/>
        </w:rPr>
        <w:t xml:space="preserve">patient </w:t>
      </w:r>
      <w:r w:rsidRPr="00854807">
        <w:rPr>
          <w:sz w:val="24"/>
          <w:szCs w:val="24"/>
        </w:rPr>
        <w:t xml:space="preserve">is supported by community teams. Any identification of risk is assessed. </w:t>
      </w:r>
      <w:r w:rsidR="00E46796" w:rsidRPr="00854807">
        <w:rPr>
          <w:sz w:val="24"/>
          <w:szCs w:val="24"/>
        </w:rPr>
        <w:t xml:space="preserve"> </w:t>
      </w:r>
    </w:p>
    <w:p w14:paraId="0E7F38FA" w14:textId="0D58149A" w:rsidR="00F10385" w:rsidRPr="00854807" w:rsidRDefault="00E46796" w:rsidP="00CA4246">
      <w:pPr>
        <w:pStyle w:val="ListParagraph"/>
        <w:numPr>
          <w:ilvl w:val="0"/>
          <w:numId w:val="6"/>
        </w:numPr>
        <w:jc w:val="both"/>
        <w:rPr>
          <w:sz w:val="24"/>
          <w:szCs w:val="24"/>
        </w:rPr>
      </w:pPr>
      <w:r w:rsidRPr="00854807">
        <w:rPr>
          <w:sz w:val="24"/>
          <w:szCs w:val="24"/>
        </w:rPr>
        <w:t xml:space="preserve">Phone call and visit if needed to address areas of concern. </w:t>
      </w:r>
      <w:r w:rsidR="00F10385" w:rsidRPr="00854807">
        <w:rPr>
          <w:sz w:val="24"/>
          <w:szCs w:val="24"/>
        </w:rPr>
        <w:t>Logged onto spreadsheet</w:t>
      </w:r>
      <w:r w:rsidR="007B5561" w:rsidRPr="00854807">
        <w:rPr>
          <w:sz w:val="24"/>
          <w:szCs w:val="24"/>
        </w:rPr>
        <w:t xml:space="preserve"> and </w:t>
      </w:r>
      <w:proofErr w:type="spellStart"/>
      <w:r w:rsidR="007B5561" w:rsidRPr="00854807">
        <w:rPr>
          <w:sz w:val="24"/>
          <w:szCs w:val="24"/>
        </w:rPr>
        <w:t>SystmOne</w:t>
      </w:r>
      <w:proofErr w:type="spellEnd"/>
      <w:r w:rsidR="007B5561" w:rsidRPr="00854807">
        <w:rPr>
          <w:sz w:val="24"/>
          <w:szCs w:val="24"/>
        </w:rPr>
        <w:t xml:space="preserve"> </w:t>
      </w:r>
      <w:proofErr w:type="spellStart"/>
      <w:r w:rsidR="007B5561" w:rsidRPr="00854807">
        <w:rPr>
          <w:sz w:val="24"/>
          <w:szCs w:val="24"/>
        </w:rPr>
        <w:t>usig</w:t>
      </w:r>
      <w:proofErr w:type="spellEnd"/>
      <w:r w:rsidR="007B5561" w:rsidRPr="00854807">
        <w:rPr>
          <w:sz w:val="24"/>
          <w:szCs w:val="24"/>
        </w:rPr>
        <w:t xml:space="preserve"> the Frailty consultation tab</w:t>
      </w:r>
      <w:r w:rsidR="00F10385" w:rsidRPr="00854807">
        <w:rPr>
          <w:sz w:val="24"/>
          <w:szCs w:val="24"/>
        </w:rPr>
        <w:t>.</w:t>
      </w:r>
    </w:p>
    <w:p w14:paraId="41B98E23" w14:textId="77777777" w:rsidR="00E46796" w:rsidRPr="00854807" w:rsidRDefault="00E46796" w:rsidP="00CA4246">
      <w:pPr>
        <w:pStyle w:val="ListParagraph"/>
        <w:numPr>
          <w:ilvl w:val="0"/>
          <w:numId w:val="6"/>
        </w:numPr>
        <w:jc w:val="both"/>
        <w:rPr>
          <w:sz w:val="24"/>
          <w:szCs w:val="24"/>
        </w:rPr>
      </w:pPr>
      <w:r w:rsidRPr="00854807">
        <w:rPr>
          <w:sz w:val="24"/>
          <w:szCs w:val="24"/>
        </w:rPr>
        <w:t>Follow up phone call if needed to review interventions.</w:t>
      </w:r>
    </w:p>
    <w:p w14:paraId="20D7CDB3" w14:textId="4F50E8A7" w:rsidR="007B5561" w:rsidRPr="00854807" w:rsidRDefault="00E46796" w:rsidP="54350DEB">
      <w:pPr>
        <w:pStyle w:val="ListParagraph"/>
        <w:numPr>
          <w:ilvl w:val="0"/>
          <w:numId w:val="6"/>
        </w:numPr>
        <w:jc w:val="both"/>
        <w:rPr>
          <w:rFonts w:eastAsiaTheme="minorEastAsia"/>
          <w:sz w:val="24"/>
          <w:szCs w:val="24"/>
        </w:rPr>
      </w:pPr>
      <w:r w:rsidRPr="00854807">
        <w:rPr>
          <w:sz w:val="24"/>
          <w:szCs w:val="24"/>
        </w:rPr>
        <w:t xml:space="preserve">Patients that are readmitted identified. </w:t>
      </w:r>
    </w:p>
    <w:p w14:paraId="54C7B9C2" w14:textId="3CD01995" w:rsidR="007B5561" w:rsidRPr="00854807" w:rsidRDefault="007B5561" w:rsidP="54350DEB">
      <w:pPr>
        <w:pStyle w:val="ListParagraph"/>
        <w:numPr>
          <w:ilvl w:val="0"/>
          <w:numId w:val="6"/>
        </w:numPr>
        <w:jc w:val="both"/>
        <w:rPr>
          <w:sz w:val="24"/>
          <w:szCs w:val="24"/>
        </w:rPr>
      </w:pPr>
      <w:r w:rsidRPr="00854807">
        <w:rPr>
          <w:sz w:val="24"/>
          <w:szCs w:val="24"/>
        </w:rPr>
        <w:t>Those identified as severely frail require annual SMR</w:t>
      </w:r>
    </w:p>
    <w:p w14:paraId="124E7995" w14:textId="77777777" w:rsidR="00F10385" w:rsidRPr="00854807" w:rsidRDefault="00F10385" w:rsidP="00CA4246">
      <w:pPr>
        <w:jc w:val="both"/>
        <w:rPr>
          <w:b/>
          <w:sz w:val="24"/>
          <w:szCs w:val="24"/>
          <w:u w:val="single"/>
        </w:rPr>
      </w:pPr>
    </w:p>
    <w:p w14:paraId="679AFFAD" w14:textId="76A4063E" w:rsidR="00572681" w:rsidRPr="00854807" w:rsidRDefault="00735A65" w:rsidP="00CA4246">
      <w:pPr>
        <w:jc w:val="both"/>
        <w:rPr>
          <w:sz w:val="24"/>
          <w:szCs w:val="24"/>
        </w:rPr>
      </w:pPr>
      <w:r w:rsidRPr="00854807">
        <w:rPr>
          <w:sz w:val="24"/>
          <w:szCs w:val="24"/>
        </w:rPr>
        <w:t xml:space="preserve">Frailty / Elderly welfare review </w:t>
      </w:r>
      <w:r w:rsidR="00F10385" w:rsidRPr="00854807">
        <w:rPr>
          <w:sz w:val="24"/>
          <w:szCs w:val="24"/>
        </w:rPr>
        <w:t xml:space="preserve">– Internal referral (to be integrated into </w:t>
      </w:r>
      <w:proofErr w:type="spellStart"/>
      <w:r w:rsidR="00F10385" w:rsidRPr="00854807">
        <w:rPr>
          <w:sz w:val="24"/>
          <w:szCs w:val="24"/>
        </w:rPr>
        <w:t>SystmOne</w:t>
      </w:r>
      <w:proofErr w:type="spellEnd"/>
      <w:r w:rsidR="00F10385" w:rsidRPr="00854807">
        <w:rPr>
          <w:sz w:val="24"/>
          <w:szCs w:val="24"/>
        </w:rPr>
        <w:t>)</w:t>
      </w:r>
    </w:p>
    <w:p w14:paraId="5AA478EB" w14:textId="2AC44802" w:rsidR="00604C6D" w:rsidRPr="00854807" w:rsidRDefault="4F077F99" w:rsidP="00CA4246">
      <w:pPr>
        <w:jc w:val="both"/>
        <w:rPr>
          <w:sz w:val="24"/>
          <w:szCs w:val="24"/>
        </w:rPr>
      </w:pPr>
      <w:r w:rsidRPr="00854807">
        <w:rPr>
          <w:sz w:val="24"/>
          <w:szCs w:val="24"/>
        </w:rPr>
        <w:t>Must be over 65</w:t>
      </w:r>
      <w:r w:rsidR="0C86BF25" w:rsidRPr="00854807">
        <w:rPr>
          <w:sz w:val="24"/>
          <w:szCs w:val="24"/>
        </w:rPr>
        <w:t xml:space="preserve"> years of age</w:t>
      </w:r>
      <w:r w:rsidRPr="00854807">
        <w:rPr>
          <w:sz w:val="24"/>
          <w:szCs w:val="24"/>
        </w:rPr>
        <w:t xml:space="preserve"> and meet at least </w:t>
      </w:r>
      <w:r w:rsidR="00604C6D" w:rsidRPr="00854807">
        <w:rPr>
          <w:sz w:val="24"/>
          <w:szCs w:val="24"/>
        </w:rPr>
        <w:t>one</w:t>
      </w:r>
      <w:r w:rsidR="0D4F02D8" w:rsidRPr="00854807">
        <w:rPr>
          <w:sz w:val="24"/>
          <w:szCs w:val="24"/>
        </w:rPr>
        <w:t xml:space="preserve"> of the below</w:t>
      </w:r>
      <w:r w:rsidR="00604C6D" w:rsidRPr="00854807">
        <w:rPr>
          <w:sz w:val="24"/>
          <w:szCs w:val="24"/>
        </w:rPr>
        <w:t xml:space="preserve"> criteria:</w:t>
      </w:r>
    </w:p>
    <w:p w14:paraId="522DEDF5" w14:textId="146F8ED8" w:rsidR="00604C6D" w:rsidRPr="00854807" w:rsidRDefault="00604C6D" w:rsidP="00604C6D">
      <w:pPr>
        <w:ind w:firstLine="720"/>
        <w:jc w:val="both"/>
        <w:rPr>
          <w:sz w:val="24"/>
          <w:szCs w:val="24"/>
        </w:rPr>
      </w:pPr>
      <w:r w:rsidRPr="00854807">
        <w:rPr>
          <w:sz w:val="24"/>
          <w:szCs w:val="24"/>
        </w:rPr>
        <w:t xml:space="preserve">Frequent falls </w:t>
      </w:r>
      <w:sdt>
        <w:sdtPr>
          <w:rPr>
            <w:sz w:val="24"/>
            <w:szCs w:val="24"/>
          </w:rPr>
          <w:id w:val="973181034"/>
          <w14:checkbox>
            <w14:checked w14:val="0"/>
            <w14:checkedState w14:val="2612" w14:font="MS Gothic"/>
            <w14:uncheckedState w14:val="2610" w14:font="MS Gothic"/>
          </w14:checkbox>
        </w:sdtPr>
        <w:sdtContent>
          <w:r w:rsidRPr="00854807">
            <w:rPr>
              <w:rFonts w:ascii="MS Gothic" w:eastAsia="MS Gothic" w:hAnsi="MS Gothic" w:hint="eastAsia"/>
              <w:sz w:val="24"/>
              <w:szCs w:val="24"/>
            </w:rPr>
            <w:t>☐</w:t>
          </w:r>
        </w:sdtContent>
      </w:sdt>
    </w:p>
    <w:p w14:paraId="4EF4C355" w14:textId="6BE55B1E" w:rsidR="00604C6D" w:rsidRPr="00854807" w:rsidRDefault="00604C6D" w:rsidP="00604C6D">
      <w:pPr>
        <w:ind w:firstLine="720"/>
        <w:jc w:val="both"/>
        <w:rPr>
          <w:sz w:val="24"/>
          <w:szCs w:val="24"/>
        </w:rPr>
      </w:pPr>
      <w:r w:rsidRPr="00854807">
        <w:rPr>
          <w:sz w:val="24"/>
          <w:szCs w:val="24"/>
        </w:rPr>
        <w:t xml:space="preserve">Sudden change to mobility </w:t>
      </w:r>
      <w:sdt>
        <w:sdtPr>
          <w:rPr>
            <w:sz w:val="24"/>
            <w:szCs w:val="24"/>
          </w:rPr>
          <w:id w:val="1682471845"/>
          <w14:checkbox>
            <w14:checked w14:val="0"/>
            <w14:checkedState w14:val="2612" w14:font="MS Gothic"/>
            <w14:uncheckedState w14:val="2610" w14:font="MS Gothic"/>
          </w14:checkbox>
        </w:sdtPr>
        <w:sdtContent>
          <w:r w:rsidRPr="00854807">
            <w:rPr>
              <w:rFonts w:ascii="MS Gothic" w:eastAsia="MS Gothic" w:hAnsi="MS Gothic" w:hint="eastAsia"/>
              <w:sz w:val="24"/>
              <w:szCs w:val="24"/>
            </w:rPr>
            <w:t>☐</w:t>
          </w:r>
        </w:sdtContent>
      </w:sdt>
    </w:p>
    <w:p w14:paraId="760798C5" w14:textId="4E30D557" w:rsidR="00604C6D" w:rsidRPr="00854807" w:rsidRDefault="00604C6D" w:rsidP="00604C6D">
      <w:pPr>
        <w:ind w:firstLine="720"/>
        <w:jc w:val="both"/>
        <w:rPr>
          <w:sz w:val="24"/>
          <w:szCs w:val="24"/>
        </w:rPr>
      </w:pPr>
      <w:r w:rsidRPr="00854807">
        <w:rPr>
          <w:sz w:val="24"/>
          <w:szCs w:val="24"/>
        </w:rPr>
        <w:t xml:space="preserve">Dementia or acute confusion </w:t>
      </w:r>
      <w:sdt>
        <w:sdtPr>
          <w:rPr>
            <w:sz w:val="24"/>
            <w:szCs w:val="24"/>
          </w:rPr>
          <w:id w:val="177316088"/>
          <w:placeholder>
            <w:docPart w:val="DefaultPlaceholder_1081868574"/>
          </w:placeholder>
          <w14:checkbox>
            <w14:checked w14:val="0"/>
            <w14:checkedState w14:val="2612" w14:font="MS Gothic"/>
            <w14:uncheckedState w14:val="2610" w14:font="MS Gothic"/>
          </w14:checkbox>
        </w:sdtPr>
        <w:sdtContent>
          <w:r w:rsidRPr="00854807">
            <w:rPr>
              <w:rFonts w:ascii="MS Gothic" w:eastAsia="MS Gothic" w:hAnsi="MS Gothic"/>
              <w:sz w:val="24"/>
              <w:szCs w:val="24"/>
            </w:rPr>
            <w:t>☐</w:t>
          </w:r>
        </w:sdtContent>
      </w:sdt>
    </w:p>
    <w:p w14:paraId="510C89B7" w14:textId="56E2FC12" w:rsidR="00604C6D" w:rsidRPr="00854807" w:rsidRDefault="00604C6D" w:rsidP="00604C6D">
      <w:pPr>
        <w:ind w:firstLine="720"/>
        <w:jc w:val="both"/>
        <w:rPr>
          <w:sz w:val="24"/>
          <w:szCs w:val="24"/>
        </w:rPr>
      </w:pPr>
      <w:r w:rsidRPr="00854807">
        <w:rPr>
          <w:sz w:val="24"/>
          <w:szCs w:val="24"/>
        </w:rPr>
        <w:t xml:space="preserve">Parkinson’s </w:t>
      </w:r>
      <w:sdt>
        <w:sdtPr>
          <w:rPr>
            <w:sz w:val="24"/>
            <w:szCs w:val="24"/>
          </w:rPr>
          <w:id w:val="1370794440"/>
          <w14:checkbox>
            <w14:checked w14:val="0"/>
            <w14:checkedState w14:val="2612" w14:font="MS Gothic"/>
            <w14:uncheckedState w14:val="2610" w14:font="MS Gothic"/>
          </w14:checkbox>
        </w:sdtPr>
        <w:sdtContent>
          <w:r w:rsidRPr="00854807">
            <w:rPr>
              <w:rFonts w:ascii="MS Gothic" w:eastAsia="MS Gothic" w:hAnsi="MS Gothic" w:hint="eastAsia"/>
              <w:sz w:val="24"/>
              <w:szCs w:val="24"/>
            </w:rPr>
            <w:t>☐</w:t>
          </w:r>
        </w:sdtContent>
      </w:sdt>
    </w:p>
    <w:p w14:paraId="1B818C8D" w14:textId="1B56E6B3" w:rsidR="00604C6D" w:rsidRPr="00854807" w:rsidRDefault="00604C6D" w:rsidP="19AAD094">
      <w:pPr>
        <w:ind w:firstLine="720"/>
        <w:jc w:val="both"/>
        <w:rPr>
          <w:rFonts w:ascii="MS Gothic" w:eastAsia="MS Gothic" w:hAnsi="MS Gothic" w:cs="MS Gothic"/>
          <w:color w:val="000000" w:themeColor="text1"/>
          <w:sz w:val="24"/>
          <w:szCs w:val="24"/>
        </w:rPr>
      </w:pPr>
      <w:r w:rsidRPr="00854807">
        <w:rPr>
          <w:sz w:val="24"/>
          <w:szCs w:val="24"/>
        </w:rPr>
        <w:t>4 or more long term conditions</w:t>
      </w:r>
      <w:r w:rsidR="29B8A474" w:rsidRPr="00854807">
        <w:rPr>
          <w:sz w:val="24"/>
          <w:szCs w:val="24"/>
        </w:rPr>
        <w:t xml:space="preserve"> </w:t>
      </w:r>
      <w:r w:rsidR="4446134A" w:rsidRPr="00854807">
        <w:rPr>
          <w:rFonts w:ascii="MS Gothic" w:eastAsia="MS Gothic" w:hAnsi="MS Gothic" w:cs="MS Gothic"/>
          <w:color w:val="000000" w:themeColor="text1"/>
          <w:sz w:val="24"/>
          <w:szCs w:val="24"/>
        </w:rPr>
        <w:t>☐</w:t>
      </w:r>
    </w:p>
    <w:p w14:paraId="0C6ECDBC" w14:textId="31313612" w:rsidR="00604C6D" w:rsidRPr="00854807" w:rsidRDefault="29B8A474" w:rsidP="00604C6D">
      <w:pPr>
        <w:ind w:firstLine="720"/>
        <w:jc w:val="both"/>
        <w:rPr>
          <w:sz w:val="24"/>
          <w:szCs w:val="24"/>
        </w:rPr>
      </w:pPr>
      <w:r w:rsidRPr="00854807">
        <w:rPr>
          <w:sz w:val="24"/>
          <w:szCs w:val="24"/>
        </w:rPr>
        <w:t>Rockwood score 5 or above</w:t>
      </w:r>
      <w:r w:rsidR="00604C6D" w:rsidRPr="00854807">
        <w:rPr>
          <w:sz w:val="24"/>
          <w:szCs w:val="24"/>
        </w:rPr>
        <w:t xml:space="preserve"> </w:t>
      </w:r>
      <w:sdt>
        <w:sdtPr>
          <w:rPr>
            <w:sz w:val="24"/>
            <w:szCs w:val="24"/>
          </w:rPr>
          <w:id w:val="1148705779"/>
          <w:placeholder>
            <w:docPart w:val="DefaultPlaceholder_1081868574"/>
          </w:placeholder>
          <w14:checkbox>
            <w14:checked w14:val="0"/>
            <w14:checkedState w14:val="2612" w14:font="MS Gothic"/>
            <w14:uncheckedState w14:val="2610" w14:font="MS Gothic"/>
          </w14:checkbox>
        </w:sdtPr>
        <w:sdtContent>
          <w:r w:rsidR="00604C6D" w:rsidRPr="00854807">
            <w:rPr>
              <w:rFonts w:ascii="MS Gothic" w:eastAsia="MS Gothic" w:hAnsi="MS Gothic"/>
              <w:sz w:val="24"/>
              <w:szCs w:val="24"/>
            </w:rPr>
            <w:t>☐</w:t>
          </w:r>
        </w:sdtContent>
      </w:sdt>
    </w:p>
    <w:p w14:paraId="404F72AE" w14:textId="77777777" w:rsidR="00F755FA" w:rsidRPr="00854807" w:rsidRDefault="00F755FA" w:rsidP="00CA4246">
      <w:pPr>
        <w:jc w:val="both"/>
        <w:rPr>
          <w:sz w:val="24"/>
          <w:szCs w:val="24"/>
        </w:rPr>
      </w:pPr>
      <w:r w:rsidRPr="00854807">
        <w:rPr>
          <w:sz w:val="24"/>
          <w:szCs w:val="24"/>
        </w:rPr>
        <w:t>Patient details-</w:t>
      </w:r>
    </w:p>
    <w:p w14:paraId="42EF4717" w14:textId="77777777" w:rsidR="00F755FA" w:rsidRPr="00854807" w:rsidRDefault="00F755FA" w:rsidP="00CA4246">
      <w:pPr>
        <w:jc w:val="both"/>
        <w:rPr>
          <w:sz w:val="24"/>
          <w:szCs w:val="24"/>
        </w:rPr>
      </w:pPr>
    </w:p>
    <w:p w14:paraId="70871AF0" w14:textId="77777777" w:rsidR="00F755FA" w:rsidRPr="00854807" w:rsidRDefault="00F755FA" w:rsidP="00CA4246">
      <w:pPr>
        <w:jc w:val="both"/>
        <w:rPr>
          <w:sz w:val="24"/>
          <w:szCs w:val="24"/>
        </w:rPr>
      </w:pPr>
    </w:p>
    <w:p w14:paraId="0A216460" w14:textId="77777777" w:rsidR="00F755FA" w:rsidRPr="00854807" w:rsidRDefault="00F755FA" w:rsidP="00CA4246">
      <w:pPr>
        <w:jc w:val="both"/>
        <w:rPr>
          <w:sz w:val="24"/>
          <w:szCs w:val="24"/>
        </w:rPr>
      </w:pPr>
      <w:r w:rsidRPr="00854807">
        <w:rPr>
          <w:sz w:val="24"/>
          <w:szCs w:val="24"/>
        </w:rPr>
        <w:t>Area of concern-</w:t>
      </w:r>
    </w:p>
    <w:p w14:paraId="3E145BAA" w14:textId="77777777" w:rsidR="00F755FA" w:rsidRPr="00854807" w:rsidRDefault="00F755FA" w:rsidP="00CA4246">
      <w:pPr>
        <w:jc w:val="both"/>
        <w:rPr>
          <w:sz w:val="24"/>
          <w:szCs w:val="24"/>
        </w:rPr>
      </w:pPr>
    </w:p>
    <w:p w14:paraId="2E0D69B7" w14:textId="77777777" w:rsidR="00F755FA" w:rsidRPr="00854807" w:rsidRDefault="00F755FA" w:rsidP="00CA4246">
      <w:pPr>
        <w:jc w:val="both"/>
        <w:rPr>
          <w:sz w:val="24"/>
          <w:szCs w:val="24"/>
        </w:rPr>
      </w:pPr>
      <w:r w:rsidRPr="00854807">
        <w:rPr>
          <w:sz w:val="24"/>
          <w:szCs w:val="24"/>
        </w:rPr>
        <w:t>Rockwood score-</w:t>
      </w:r>
    </w:p>
    <w:p w14:paraId="539D6CF8" w14:textId="77777777" w:rsidR="00F755FA" w:rsidRPr="00854807" w:rsidRDefault="00F755FA" w:rsidP="00CA4246">
      <w:pPr>
        <w:jc w:val="both"/>
        <w:rPr>
          <w:sz w:val="24"/>
          <w:szCs w:val="24"/>
        </w:rPr>
      </w:pPr>
    </w:p>
    <w:p w14:paraId="596A379D" w14:textId="77777777" w:rsidR="00F755FA" w:rsidRPr="00854807" w:rsidRDefault="00F755FA" w:rsidP="00CA4246">
      <w:pPr>
        <w:jc w:val="both"/>
        <w:rPr>
          <w:sz w:val="24"/>
          <w:szCs w:val="24"/>
        </w:rPr>
      </w:pPr>
      <w:r w:rsidRPr="00854807">
        <w:rPr>
          <w:sz w:val="24"/>
          <w:szCs w:val="24"/>
        </w:rPr>
        <w:t xml:space="preserve">Expected outcome- </w:t>
      </w:r>
    </w:p>
    <w:p w14:paraId="5AE473DA" w14:textId="77777777" w:rsidR="00F755FA" w:rsidRPr="00854807" w:rsidRDefault="00F755FA" w:rsidP="00CA4246">
      <w:pPr>
        <w:jc w:val="both"/>
        <w:rPr>
          <w:sz w:val="24"/>
          <w:szCs w:val="24"/>
        </w:rPr>
      </w:pPr>
    </w:p>
    <w:p w14:paraId="093D48AB" w14:textId="77777777" w:rsidR="00F755FA" w:rsidRPr="00854807" w:rsidRDefault="00F755FA" w:rsidP="00CA4246">
      <w:pPr>
        <w:jc w:val="both"/>
        <w:rPr>
          <w:sz w:val="24"/>
          <w:szCs w:val="24"/>
        </w:rPr>
      </w:pPr>
      <w:r w:rsidRPr="00854807">
        <w:rPr>
          <w:sz w:val="24"/>
          <w:szCs w:val="24"/>
        </w:rPr>
        <w:t xml:space="preserve">Referrer details- </w:t>
      </w:r>
    </w:p>
    <w:p w14:paraId="0F196CC4" w14:textId="77777777" w:rsidR="00B25B06" w:rsidRPr="00854807" w:rsidRDefault="00B25B06" w:rsidP="00CA4246">
      <w:pPr>
        <w:jc w:val="both"/>
        <w:rPr>
          <w:sz w:val="24"/>
          <w:szCs w:val="24"/>
        </w:rPr>
      </w:pPr>
    </w:p>
    <w:p w14:paraId="5D6E47DC" w14:textId="77777777" w:rsidR="00DD006A" w:rsidRPr="00854807" w:rsidRDefault="00DD006A" w:rsidP="00CA4246">
      <w:pPr>
        <w:jc w:val="both"/>
        <w:rPr>
          <w:sz w:val="24"/>
          <w:szCs w:val="24"/>
        </w:rPr>
      </w:pPr>
    </w:p>
    <w:p w14:paraId="6AC7A6A6" w14:textId="77777777" w:rsidR="00DD006A" w:rsidRPr="00854807" w:rsidRDefault="00DD006A" w:rsidP="00CA4246">
      <w:pPr>
        <w:jc w:val="both"/>
        <w:rPr>
          <w:sz w:val="24"/>
          <w:szCs w:val="24"/>
        </w:rPr>
      </w:pPr>
    </w:p>
    <w:p w14:paraId="08512572" w14:textId="77777777" w:rsidR="00DD006A" w:rsidRPr="00854807" w:rsidRDefault="00DD006A" w:rsidP="00CA4246">
      <w:pPr>
        <w:jc w:val="both"/>
        <w:rPr>
          <w:sz w:val="24"/>
          <w:szCs w:val="24"/>
        </w:rPr>
      </w:pPr>
    </w:p>
    <w:p w14:paraId="7564981B" w14:textId="17C7A95D" w:rsidR="5CCDD0B7" w:rsidRDefault="5CCDD0B7" w:rsidP="5CCDD0B7">
      <w:pPr>
        <w:jc w:val="both"/>
        <w:rPr>
          <w:sz w:val="24"/>
          <w:szCs w:val="24"/>
        </w:rPr>
      </w:pPr>
    </w:p>
    <w:p w14:paraId="55F74D2D" w14:textId="3303ED69" w:rsidR="5CCDD0B7" w:rsidRDefault="5CCDD0B7" w:rsidP="5CCDD0B7">
      <w:pPr>
        <w:jc w:val="both"/>
        <w:rPr>
          <w:sz w:val="24"/>
          <w:szCs w:val="24"/>
        </w:rPr>
      </w:pPr>
    </w:p>
    <w:p w14:paraId="385A1438" w14:textId="10918FC6" w:rsidR="5CCDD0B7" w:rsidRDefault="5CCDD0B7" w:rsidP="5CCDD0B7">
      <w:pPr>
        <w:jc w:val="both"/>
        <w:rPr>
          <w:sz w:val="24"/>
          <w:szCs w:val="24"/>
        </w:rPr>
      </w:pPr>
    </w:p>
    <w:p w14:paraId="2C1632B3" w14:textId="77777777" w:rsidR="00DD006A" w:rsidRPr="00854807" w:rsidRDefault="00DD006A" w:rsidP="00CA4246">
      <w:pPr>
        <w:jc w:val="both"/>
        <w:rPr>
          <w:sz w:val="24"/>
          <w:szCs w:val="24"/>
        </w:rPr>
      </w:pPr>
    </w:p>
    <w:p w14:paraId="024B603A" w14:textId="77777777" w:rsidR="00DD006A" w:rsidRPr="00854807" w:rsidRDefault="00DD006A">
      <w:pPr>
        <w:rPr>
          <w:sz w:val="24"/>
          <w:szCs w:val="24"/>
        </w:rPr>
      </w:pPr>
      <w:r w:rsidRPr="00854807">
        <w:rPr>
          <w:sz w:val="24"/>
          <w:szCs w:val="24"/>
        </w:rPr>
        <w:t>REFERENCES:</w:t>
      </w:r>
    </w:p>
    <w:p w14:paraId="506F0F4C" w14:textId="77777777" w:rsidR="00DE30AD" w:rsidRPr="00854807" w:rsidRDefault="00DE30AD" w:rsidP="00604C6D">
      <w:pPr>
        <w:ind w:left="360"/>
        <w:rPr>
          <w:sz w:val="24"/>
          <w:szCs w:val="24"/>
        </w:rPr>
      </w:pPr>
    </w:p>
    <w:p w14:paraId="429D19E5" w14:textId="4FAABDDC" w:rsidR="00604C6D" w:rsidRPr="00854807" w:rsidRDefault="00604C6D" w:rsidP="00604C6D">
      <w:pPr>
        <w:ind w:left="360"/>
        <w:rPr>
          <w:sz w:val="24"/>
          <w:szCs w:val="24"/>
        </w:rPr>
      </w:pPr>
      <w:r w:rsidRPr="00854807">
        <w:rPr>
          <w:sz w:val="24"/>
          <w:szCs w:val="24"/>
        </w:rPr>
        <w:t>British Geriatrics Society,</w:t>
      </w:r>
      <w:r w:rsidR="0027739C" w:rsidRPr="00854807">
        <w:rPr>
          <w:sz w:val="24"/>
          <w:szCs w:val="24"/>
        </w:rPr>
        <w:t xml:space="preserve"> </w:t>
      </w:r>
      <w:r w:rsidRPr="00854807">
        <w:rPr>
          <w:sz w:val="24"/>
          <w:szCs w:val="24"/>
        </w:rPr>
        <w:t>Fit for Frailty part 2</w:t>
      </w:r>
      <w:r w:rsidR="0027739C" w:rsidRPr="00854807">
        <w:rPr>
          <w:sz w:val="24"/>
          <w:szCs w:val="24"/>
        </w:rPr>
        <w:t xml:space="preserve"> (2015): </w:t>
      </w:r>
      <w:hyperlink r:id="rId12" w:history="1">
        <w:r w:rsidR="0027739C" w:rsidRPr="00854807">
          <w:rPr>
            <w:rStyle w:val="Hyperlink"/>
            <w:sz w:val="24"/>
            <w:szCs w:val="24"/>
          </w:rPr>
          <w:t>https://www.bgs.org.uk/sites/default/files/content/resources/files/2018-05-23/fff2_full.pdf</w:t>
        </w:r>
      </w:hyperlink>
      <w:r w:rsidR="0027739C" w:rsidRPr="00854807">
        <w:rPr>
          <w:sz w:val="24"/>
          <w:szCs w:val="24"/>
        </w:rPr>
        <w:t xml:space="preserve"> </w:t>
      </w:r>
    </w:p>
    <w:p w14:paraId="55580114" w14:textId="77777777" w:rsidR="00FF44A0" w:rsidRPr="00854807" w:rsidRDefault="00FF44A0" w:rsidP="00FF44A0">
      <w:pPr>
        <w:ind w:left="360"/>
        <w:rPr>
          <w:sz w:val="24"/>
          <w:szCs w:val="24"/>
        </w:rPr>
      </w:pPr>
      <w:r w:rsidRPr="00854807">
        <w:rPr>
          <w:sz w:val="24"/>
          <w:szCs w:val="24"/>
        </w:rPr>
        <w:t xml:space="preserve">NICE Guideline: Dementia assessment, management and support for people living with dementia and their carers (2018) </w:t>
      </w:r>
      <w:hyperlink r:id="rId13" w:history="1">
        <w:r w:rsidRPr="00854807">
          <w:rPr>
            <w:rStyle w:val="Hyperlink"/>
            <w:sz w:val="24"/>
            <w:szCs w:val="24"/>
          </w:rPr>
          <w:t>Dementia: assessment, management and support for people living with dementia and their carers (nice.org.uk)</w:t>
        </w:r>
      </w:hyperlink>
    </w:p>
    <w:p w14:paraId="6A21623E" w14:textId="291065CD" w:rsidR="00DE30AD" w:rsidRPr="00854807" w:rsidRDefault="00DD006A" w:rsidP="00DE30AD">
      <w:pPr>
        <w:ind w:left="360"/>
        <w:rPr>
          <w:rStyle w:val="Hyperlink"/>
          <w:sz w:val="24"/>
          <w:szCs w:val="24"/>
        </w:rPr>
      </w:pPr>
      <w:r w:rsidRPr="00854807">
        <w:rPr>
          <w:sz w:val="24"/>
          <w:szCs w:val="24"/>
        </w:rPr>
        <w:t>The General Practice Frailty Toolkit</w:t>
      </w:r>
      <w:r w:rsidR="00604C6D" w:rsidRPr="00854807">
        <w:rPr>
          <w:sz w:val="24"/>
          <w:szCs w:val="24"/>
        </w:rPr>
        <w:t xml:space="preserve"> 2017</w:t>
      </w:r>
      <w:r w:rsidRPr="00854807">
        <w:rPr>
          <w:sz w:val="24"/>
          <w:szCs w:val="24"/>
        </w:rPr>
        <w:t xml:space="preserve">: </w:t>
      </w:r>
      <w:hyperlink r:id="rId14" w:history="1">
        <w:r w:rsidRPr="00854807">
          <w:rPr>
            <w:rStyle w:val="Hyperlink"/>
            <w:sz w:val="24"/>
            <w:szCs w:val="24"/>
          </w:rPr>
          <w:t>toolkit-general-practice-frailty-1.pdf (england.nhs.uk)</w:t>
        </w:r>
      </w:hyperlink>
    </w:p>
    <w:p w14:paraId="2CDDA1BD" w14:textId="681DC54E" w:rsidR="00DE30AD" w:rsidRPr="00854807" w:rsidRDefault="00DE30AD" w:rsidP="00DE30AD">
      <w:pPr>
        <w:rPr>
          <w:sz w:val="24"/>
          <w:szCs w:val="24"/>
        </w:rPr>
      </w:pPr>
      <w:r w:rsidRPr="00854807">
        <w:rPr>
          <w:rStyle w:val="Hyperlink"/>
          <w:color w:val="auto"/>
          <w:sz w:val="24"/>
          <w:szCs w:val="24"/>
          <w:u w:val="none"/>
        </w:rPr>
        <w:tab/>
      </w:r>
    </w:p>
    <w:sectPr w:rsidR="00DE30AD" w:rsidRPr="00854807" w:rsidSect="006346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074"/>
    <w:multiLevelType w:val="hybridMultilevel"/>
    <w:tmpl w:val="E7E25760"/>
    <w:lvl w:ilvl="0" w:tplc="3ABA6E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61CE4"/>
    <w:multiLevelType w:val="hybridMultilevel"/>
    <w:tmpl w:val="28328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54B98"/>
    <w:multiLevelType w:val="hybridMultilevel"/>
    <w:tmpl w:val="AB764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365A4"/>
    <w:multiLevelType w:val="hybridMultilevel"/>
    <w:tmpl w:val="A8F8D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051374"/>
    <w:multiLevelType w:val="hybridMultilevel"/>
    <w:tmpl w:val="E640C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B14D0E"/>
    <w:multiLevelType w:val="hybridMultilevel"/>
    <w:tmpl w:val="0A0A82A4"/>
    <w:lvl w:ilvl="0" w:tplc="531E0E9A">
      <w:start w:val="1"/>
      <w:numFmt w:val="decimal"/>
      <w:lvlText w:val="%1."/>
      <w:lvlJc w:val="left"/>
      <w:pPr>
        <w:ind w:left="643"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883C97"/>
    <w:multiLevelType w:val="hybridMultilevel"/>
    <w:tmpl w:val="35D0F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1884481">
    <w:abstractNumId w:val="0"/>
  </w:num>
  <w:num w:numId="2" w16cid:durableId="489373983">
    <w:abstractNumId w:val="5"/>
  </w:num>
  <w:num w:numId="3" w16cid:durableId="1435006986">
    <w:abstractNumId w:val="4"/>
  </w:num>
  <w:num w:numId="4" w16cid:durableId="1400713736">
    <w:abstractNumId w:val="2"/>
  </w:num>
  <w:num w:numId="5" w16cid:durableId="1624188342">
    <w:abstractNumId w:val="3"/>
  </w:num>
  <w:num w:numId="6" w16cid:durableId="186912126">
    <w:abstractNumId w:val="1"/>
  </w:num>
  <w:num w:numId="7" w16cid:durableId="21398351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B06"/>
    <w:rsid w:val="00073C49"/>
    <w:rsid w:val="000B09AF"/>
    <w:rsid w:val="001660DB"/>
    <w:rsid w:val="001C2155"/>
    <w:rsid w:val="001D4FC3"/>
    <w:rsid w:val="001F45DD"/>
    <w:rsid w:val="00202C09"/>
    <w:rsid w:val="00212960"/>
    <w:rsid w:val="0027739C"/>
    <w:rsid w:val="002C1232"/>
    <w:rsid w:val="002E438E"/>
    <w:rsid w:val="00316860"/>
    <w:rsid w:val="00343103"/>
    <w:rsid w:val="003B3A8F"/>
    <w:rsid w:val="00405048"/>
    <w:rsid w:val="00420F06"/>
    <w:rsid w:val="00460BD0"/>
    <w:rsid w:val="00572681"/>
    <w:rsid w:val="005758F5"/>
    <w:rsid w:val="005B066B"/>
    <w:rsid w:val="005B38FA"/>
    <w:rsid w:val="005C5881"/>
    <w:rsid w:val="005F22C4"/>
    <w:rsid w:val="00604C6D"/>
    <w:rsid w:val="00630425"/>
    <w:rsid w:val="006346C3"/>
    <w:rsid w:val="00636C25"/>
    <w:rsid w:val="00715118"/>
    <w:rsid w:val="00724E70"/>
    <w:rsid w:val="00735A65"/>
    <w:rsid w:val="0075431E"/>
    <w:rsid w:val="00767FA0"/>
    <w:rsid w:val="007B5561"/>
    <w:rsid w:val="00854807"/>
    <w:rsid w:val="008B099D"/>
    <w:rsid w:val="008B3E0B"/>
    <w:rsid w:val="009C123A"/>
    <w:rsid w:val="009E49D7"/>
    <w:rsid w:val="009F6F87"/>
    <w:rsid w:val="00A27384"/>
    <w:rsid w:val="00AA789B"/>
    <w:rsid w:val="00B06E54"/>
    <w:rsid w:val="00B25B06"/>
    <w:rsid w:val="00B30ABD"/>
    <w:rsid w:val="00B30BB7"/>
    <w:rsid w:val="00B44E1A"/>
    <w:rsid w:val="00BA3C7C"/>
    <w:rsid w:val="00BD175A"/>
    <w:rsid w:val="00C604FB"/>
    <w:rsid w:val="00CA4246"/>
    <w:rsid w:val="00D1520E"/>
    <w:rsid w:val="00D4286A"/>
    <w:rsid w:val="00D54C78"/>
    <w:rsid w:val="00DD006A"/>
    <w:rsid w:val="00DE30AD"/>
    <w:rsid w:val="00E0308A"/>
    <w:rsid w:val="00E21220"/>
    <w:rsid w:val="00E46796"/>
    <w:rsid w:val="00E7487A"/>
    <w:rsid w:val="00E750FC"/>
    <w:rsid w:val="00F10385"/>
    <w:rsid w:val="00F309B0"/>
    <w:rsid w:val="00F4640F"/>
    <w:rsid w:val="00F755FA"/>
    <w:rsid w:val="00FF2CFC"/>
    <w:rsid w:val="00FF44A0"/>
    <w:rsid w:val="059DEF11"/>
    <w:rsid w:val="06075F7C"/>
    <w:rsid w:val="0982FA16"/>
    <w:rsid w:val="0C86BF25"/>
    <w:rsid w:val="0D4F02D8"/>
    <w:rsid w:val="10158B6B"/>
    <w:rsid w:val="112C9DEC"/>
    <w:rsid w:val="14F0D2A1"/>
    <w:rsid w:val="15F80DAB"/>
    <w:rsid w:val="16845904"/>
    <w:rsid w:val="1713CC34"/>
    <w:rsid w:val="176D397E"/>
    <w:rsid w:val="18889D1E"/>
    <w:rsid w:val="18F2CE6E"/>
    <w:rsid w:val="19AAD094"/>
    <w:rsid w:val="1B4CD727"/>
    <w:rsid w:val="1D8F3ED7"/>
    <w:rsid w:val="1FA4B16D"/>
    <w:rsid w:val="21E2AEB6"/>
    <w:rsid w:val="225C89B4"/>
    <w:rsid w:val="24118B6B"/>
    <w:rsid w:val="2527B8C6"/>
    <w:rsid w:val="27185EC8"/>
    <w:rsid w:val="29B8A474"/>
    <w:rsid w:val="2D671C08"/>
    <w:rsid w:val="316C73F6"/>
    <w:rsid w:val="33464ADA"/>
    <w:rsid w:val="345E8651"/>
    <w:rsid w:val="38123419"/>
    <w:rsid w:val="38821780"/>
    <w:rsid w:val="3A849FD1"/>
    <w:rsid w:val="3ABF4F85"/>
    <w:rsid w:val="3B3E9067"/>
    <w:rsid w:val="41072211"/>
    <w:rsid w:val="41F49953"/>
    <w:rsid w:val="4205281F"/>
    <w:rsid w:val="427DE297"/>
    <w:rsid w:val="42B71163"/>
    <w:rsid w:val="43A88064"/>
    <w:rsid w:val="4446134A"/>
    <w:rsid w:val="4532E8A2"/>
    <w:rsid w:val="489E21BC"/>
    <w:rsid w:val="4F077F99"/>
    <w:rsid w:val="51A917F9"/>
    <w:rsid w:val="52DA31AC"/>
    <w:rsid w:val="53A42E9E"/>
    <w:rsid w:val="54350DEB"/>
    <w:rsid w:val="54EBBFF7"/>
    <w:rsid w:val="550380EC"/>
    <w:rsid w:val="598A733C"/>
    <w:rsid w:val="59CD45F6"/>
    <w:rsid w:val="5CCDD0B7"/>
    <w:rsid w:val="61A9F1BE"/>
    <w:rsid w:val="64E228A9"/>
    <w:rsid w:val="66D2CB59"/>
    <w:rsid w:val="684FB1E1"/>
    <w:rsid w:val="68D41585"/>
    <w:rsid w:val="69161ED5"/>
    <w:rsid w:val="6BD33C9D"/>
    <w:rsid w:val="6DA3397F"/>
    <w:rsid w:val="6E0782C8"/>
    <w:rsid w:val="6F9453D7"/>
    <w:rsid w:val="6FA35329"/>
    <w:rsid w:val="70949EAE"/>
    <w:rsid w:val="70EEADBF"/>
    <w:rsid w:val="7108085D"/>
    <w:rsid w:val="72414C92"/>
    <w:rsid w:val="7331A37D"/>
    <w:rsid w:val="736E6373"/>
    <w:rsid w:val="73BE331A"/>
    <w:rsid w:val="76B746F3"/>
    <w:rsid w:val="7995EDC1"/>
    <w:rsid w:val="7A739211"/>
    <w:rsid w:val="7A7C566F"/>
    <w:rsid w:val="7B238D05"/>
    <w:rsid w:val="7BE56423"/>
    <w:rsid w:val="7FED1C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75D9"/>
  <w15:docId w15:val="{E5F4BCE3-01E0-4800-A3D4-0DAE7912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06A"/>
    <w:pPr>
      <w:ind w:left="720"/>
      <w:contextualSpacing/>
    </w:pPr>
  </w:style>
  <w:style w:type="character" w:styleId="Hyperlink">
    <w:name w:val="Hyperlink"/>
    <w:basedOn w:val="DefaultParagraphFont"/>
    <w:uiPriority w:val="99"/>
    <w:unhideWhenUsed/>
    <w:rsid w:val="00DD006A"/>
    <w:rPr>
      <w:color w:val="0000FF"/>
      <w:u w:val="single"/>
    </w:rPr>
  </w:style>
  <w:style w:type="character" w:styleId="FollowedHyperlink">
    <w:name w:val="FollowedHyperlink"/>
    <w:basedOn w:val="DefaultParagraphFont"/>
    <w:uiPriority w:val="99"/>
    <w:semiHidden/>
    <w:unhideWhenUsed/>
    <w:rsid w:val="00604C6D"/>
    <w:rPr>
      <w:color w:val="800080" w:themeColor="followedHyperlink"/>
      <w:u w:val="single"/>
    </w:rPr>
  </w:style>
  <w:style w:type="character" w:styleId="UnresolvedMention">
    <w:name w:val="Unresolved Mention"/>
    <w:basedOn w:val="DefaultParagraphFont"/>
    <w:uiPriority w:val="99"/>
    <w:semiHidden/>
    <w:unhideWhenUsed/>
    <w:rsid w:val="00277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ce.org.uk/guidance/ng97/resources/dementia-assessment-management-and-support-for-people-living-with-dementia-and-their-carers-pdf-183776019910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gs.org.uk/sites/default/files/content/resources/files/2018-05-23/fff2_full.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s://bsw.icb.nhs.uk/for-clinicians/anticipatory-care" TargetMode="External"/><Relationship Id="rId14" Type="http://schemas.openxmlformats.org/officeDocument/2006/relationships/hyperlink" Target="https://www.england.nhs.uk/wp-content/uploads/2017/03/toolkit-general-practice-frailty-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58942DB-62A0-4B31-9ABD-525D35809140}"/>
      </w:docPartPr>
      <w:docPartBody>
        <w:p w:rsidR="00CE1B19" w:rsidRDefault="00CE1B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E1B19"/>
    <w:rsid w:val="00266D00"/>
    <w:rsid w:val="00570E9E"/>
    <w:rsid w:val="009219BF"/>
    <w:rsid w:val="009E6853"/>
    <w:rsid w:val="00B2170E"/>
    <w:rsid w:val="00CE1B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FE31B4B66CA44383B52FD81500696B" ma:contentTypeVersion="17" ma:contentTypeDescription="Create a new document." ma:contentTypeScope="" ma:versionID="ceaac0799dcd7459d8b5a1d531b3f632">
  <xsd:schema xmlns:xsd="http://www.w3.org/2001/XMLSchema" xmlns:xs="http://www.w3.org/2001/XMLSchema" xmlns:p="http://schemas.microsoft.com/office/2006/metadata/properties" xmlns:ns2="357a730b-f8f7-473c-88c8-6f3d7d2315da" xmlns:ns3="ac20db32-3cb2-4387-b6e4-c78975a853eb" targetNamespace="http://schemas.microsoft.com/office/2006/metadata/properties" ma:root="true" ma:fieldsID="0435fe787342a7dd2c9e72eda6562af9" ns2:_="" ns3:_="">
    <xsd:import namespace="357a730b-f8f7-473c-88c8-6f3d7d2315da"/>
    <xsd:import namespace="ac20db32-3cb2-4387-b6e4-c78975a853eb"/>
    <xsd:element name="properties">
      <xsd:complexType>
        <xsd:sequence>
          <xsd:element name="documentManagement">
            <xsd:complexType>
              <xsd:all>
                <xsd:element ref="ns2:MediaServiceMetadata" minOccurs="0"/>
                <xsd:element ref="ns2:MediaServiceFastMetadata" minOccurs="0"/>
                <xsd:element ref="ns2:Complete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a730b-f8f7-473c-88c8-6f3d7d231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pleted" ma:index="10" nillable="true" ma:displayName="Completed" ma:format="Dropdown" ma:internalName="Completed">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20db32-3cb2-4387-b6e4-c78975a853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92737d6-44c9-4aef-b1c0-d2e73031db51}" ma:internalName="TaxCatchAll" ma:showField="CatchAllData" ma:web="ac20db32-3cb2-4387-b6e4-c78975a853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c20db32-3cb2-4387-b6e4-c78975a853eb" xsi:nil="true"/>
    <lcf76f155ced4ddcb4097134ff3c332f xmlns="357a730b-f8f7-473c-88c8-6f3d7d2315da">
      <Terms xmlns="http://schemas.microsoft.com/office/infopath/2007/PartnerControls"/>
    </lcf76f155ced4ddcb4097134ff3c332f>
    <Completed xmlns="357a730b-f8f7-473c-88c8-6f3d7d2315d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5ADB1B-6F9C-4516-B1C6-EF0A05544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a730b-f8f7-473c-88c8-6f3d7d2315da"/>
    <ds:schemaRef ds:uri="ac20db32-3cb2-4387-b6e4-c78975a85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A49A4E-FF3B-4700-9F37-711711E657F5}">
  <ds:schemaRefs>
    <ds:schemaRef ds:uri="http://schemas.openxmlformats.org/officeDocument/2006/bibliography"/>
  </ds:schemaRefs>
</ds:datastoreItem>
</file>

<file path=customXml/itemProps3.xml><?xml version="1.0" encoding="utf-8"?>
<ds:datastoreItem xmlns:ds="http://schemas.openxmlformats.org/officeDocument/2006/customXml" ds:itemID="{056CCC8F-0213-4B31-A657-2B1286BA8664}">
  <ds:schemaRefs>
    <ds:schemaRef ds:uri="http://schemas.microsoft.com/office/2006/metadata/properties"/>
    <ds:schemaRef ds:uri="http://schemas.microsoft.com/office/infopath/2007/PartnerControls"/>
    <ds:schemaRef ds:uri="ac20db32-3cb2-4387-b6e4-c78975a853eb"/>
    <ds:schemaRef ds:uri="357a730b-f8f7-473c-88c8-6f3d7d2315da"/>
  </ds:schemaRefs>
</ds:datastoreItem>
</file>

<file path=customXml/itemProps4.xml><?xml version="1.0" encoding="utf-8"?>
<ds:datastoreItem xmlns:ds="http://schemas.openxmlformats.org/officeDocument/2006/customXml" ds:itemID="{F1012A9A-5988-4B79-9A8F-80EB2A2EC7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993</Words>
  <Characters>5664</Characters>
  <Application>Microsoft Office Word</Application>
  <DocSecurity>0</DocSecurity>
  <Lines>47</Lines>
  <Paragraphs>13</Paragraphs>
  <ScaleCrop>false</ScaleCrop>
  <Company>Swindon Primary Care</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Goodman</dc:creator>
  <cp:keywords/>
  <cp:lastModifiedBy>PAGE, Joanne (NHS SOUTH, CENTRAL AND WEST COMMISSIONING SUPPORT UNIT)</cp:lastModifiedBy>
  <cp:revision>46</cp:revision>
  <dcterms:created xsi:type="dcterms:W3CDTF">2021-12-21T11:41:00Z</dcterms:created>
  <dcterms:modified xsi:type="dcterms:W3CDTF">2022-11-04T10:19:00Z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0x01010011FE31B4B66CA44383B52FD81500696B</vt:lpwstr>
  </property>
  <property fmtid="{D5CDD505-2E9C-101B-9397-08002B2CF9AE}" pid="3" name="MediaServiceImageTags">
    <vt:lpwstr/>
  </property>
</Properties>
</file>