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D8A02" w14:textId="103CA671" w:rsidR="00351976" w:rsidRDefault="00351976" w:rsidP="00351976">
      <w:pPr>
        <w:pStyle w:val="Heading2"/>
      </w:pPr>
      <w:bookmarkStart w:id="0" w:name="_Toc153811106"/>
      <w:r>
        <w:t>J</w:t>
      </w:r>
      <w:r w:rsidRPr="00717A90">
        <w:t xml:space="preserve">oint </w:t>
      </w:r>
      <w:r>
        <w:t>c</w:t>
      </w:r>
      <w:r w:rsidRPr="00717A90">
        <w:t xml:space="preserve">apital </w:t>
      </w:r>
      <w:r>
        <w:t>r</w:t>
      </w:r>
      <w:r w:rsidRPr="00717A90">
        <w:t xml:space="preserve">esource </w:t>
      </w:r>
      <w:r>
        <w:t>use p</w:t>
      </w:r>
      <w:r w:rsidRPr="00717A90">
        <w:t>lan</w:t>
      </w:r>
      <w:r>
        <w:t xml:space="preserve"> </w:t>
      </w:r>
      <w:r w:rsidRPr="00717A90">
        <w:t xml:space="preserve">2024/25 </w:t>
      </w:r>
      <w:r>
        <w:t>t</w:t>
      </w:r>
      <w:r w:rsidRPr="00717A90">
        <w:t>emplate</w:t>
      </w:r>
      <w:bookmarkEnd w:id="0"/>
    </w:p>
    <w:p w14:paraId="72D2BDD0" w14:textId="1F2FE7B9" w:rsidR="00AD4665" w:rsidRPr="00AD4665" w:rsidRDefault="00AD4665" w:rsidP="00AD4665">
      <w:r>
        <w:t>Systems can use this</w:t>
      </w:r>
      <w:r w:rsidRPr="00717A90">
        <w:t xml:space="preserve"> non-mandated template </w:t>
      </w:r>
      <w:r>
        <w:t>to</w:t>
      </w:r>
      <w:r w:rsidRPr="00717A90">
        <w:t xml:space="preserve"> present </w:t>
      </w:r>
      <w:r>
        <w:t xml:space="preserve">their </w:t>
      </w:r>
      <w:r w:rsidRPr="00717A90">
        <w:t>information</w:t>
      </w:r>
      <w:r>
        <w:t xml:space="preserve"> in their published plans.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7"/>
        <w:gridCol w:w="9955"/>
      </w:tblGrid>
      <w:tr w:rsidR="00351976" w:rsidRPr="002F7DB4" w14:paraId="3C9C2626" w14:textId="77777777" w:rsidTr="00100E42">
        <w:trPr>
          <w:trHeight w:val="482"/>
        </w:trPr>
        <w:tc>
          <w:tcPr>
            <w:tcW w:w="4637" w:type="dxa"/>
            <w:shd w:val="clear" w:color="auto" w:fill="0070C0"/>
            <w:vAlign w:val="center"/>
          </w:tcPr>
          <w:p w14:paraId="486A5732" w14:textId="77777777" w:rsidR="00351976" w:rsidRPr="00351976" w:rsidRDefault="00351976" w:rsidP="003706A4">
            <w:pPr>
              <w:rPr>
                <w:rFonts w:cs="Arial"/>
                <w:b/>
                <w:bCs/>
                <w:color w:val="FFFFFF" w:themeColor="background1"/>
              </w:rPr>
            </w:pPr>
            <w:r w:rsidRPr="00351976">
              <w:rPr>
                <w:rFonts w:cs="Arial"/>
                <w:b/>
                <w:bCs/>
                <w:color w:val="FFFFFF" w:themeColor="background1"/>
              </w:rPr>
              <w:t>Region</w:t>
            </w:r>
          </w:p>
        </w:tc>
        <w:sdt>
          <w:sdtPr>
            <w:rPr>
              <w:rFonts w:cs="Arial"/>
              <w:b/>
              <w:bCs/>
            </w:rPr>
            <w:alias w:val="REGION"/>
            <w:tag w:val="REGION"/>
            <w:id w:val="-1480458433"/>
            <w:placeholder>
              <w:docPart w:val="76C52E5283E948F397B1F9D0EC93E97C"/>
            </w:placeholder>
            <w:dropDownList>
              <w:listItem w:value="Choose an item."/>
              <w:listItem w:displayText="North East &amp; Yorkshire" w:value="North East &amp; Yorkshire"/>
              <w:listItem w:displayText="South East" w:value="South East"/>
              <w:listItem w:displayText="South West" w:value="South West"/>
              <w:listItem w:displayText="London" w:value="London"/>
              <w:listItem w:displayText="Midlands" w:value="Midlands"/>
              <w:listItem w:displayText="East of England" w:value="East of England"/>
              <w:listItem w:displayText="North West" w:value="North West"/>
            </w:dropDownList>
          </w:sdtPr>
          <w:sdtEndPr/>
          <w:sdtContent>
            <w:tc>
              <w:tcPr>
                <w:tcW w:w="9955" w:type="dxa"/>
                <w:vAlign w:val="center"/>
              </w:tcPr>
              <w:p w14:paraId="329FEEE2" w14:textId="2A2970ED" w:rsidR="00351976" w:rsidRPr="00717A90" w:rsidRDefault="004041FA" w:rsidP="003706A4">
                <w:pPr>
                  <w:rPr>
                    <w:rFonts w:cs="Arial"/>
                    <w:b/>
                    <w:bCs/>
                  </w:rPr>
                </w:pPr>
                <w:r>
                  <w:rPr>
                    <w:rFonts w:cs="Arial"/>
                    <w:b/>
                    <w:bCs/>
                  </w:rPr>
                  <w:t>South West</w:t>
                </w:r>
              </w:p>
            </w:tc>
          </w:sdtContent>
        </w:sdt>
      </w:tr>
      <w:tr w:rsidR="00351976" w:rsidRPr="002F7DB4" w14:paraId="5BC0D438" w14:textId="77777777" w:rsidTr="00BE3800">
        <w:trPr>
          <w:trHeight w:val="786"/>
        </w:trPr>
        <w:tc>
          <w:tcPr>
            <w:tcW w:w="4637" w:type="dxa"/>
            <w:shd w:val="clear" w:color="auto" w:fill="0070C0"/>
            <w:vAlign w:val="center"/>
          </w:tcPr>
          <w:p w14:paraId="4D7055AC" w14:textId="77777777" w:rsidR="00351976" w:rsidRPr="00351976" w:rsidRDefault="00351976" w:rsidP="003706A4">
            <w:pPr>
              <w:rPr>
                <w:rFonts w:cs="Arial"/>
                <w:b/>
                <w:bCs/>
                <w:color w:val="FFFFFF" w:themeColor="background1"/>
              </w:rPr>
            </w:pPr>
            <w:r w:rsidRPr="00351976">
              <w:rPr>
                <w:rFonts w:cs="Arial"/>
                <w:b/>
                <w:bCs/>
                <w:color w:val="FFFFFF" w:themeColor="background1"/>
              </w:rPr>
              <w:t>ICB / System</w:t>
            </w:r>
          </w:p>
        </w:tc>
        <w:tc>
          <w:tcPr>
            <w:tcW w:w="9955" w:type="dxa"/>
            <w:vAlign w:val="center"/>
          </w:tcPr>
          <w:p w14:paraId="69938777" w14:textId="2EDCD6D2" w:rsidR="00351976" w:rsidRPr="00717A90" w:rsidRDefault="001A59D6" w:rsidP="003706A4">
            <w:pPr>
              <w:rPr>
                <w:rFonts w:cs="Arial"/>
                <w:b/>
                <w:bCs/>
              </w:rPr>
            </w:pPr>
            <w:r w:rsidRPr="001A59D6">
              <w:rPr>
                <w:rFonts w:cs="Arial"/>
                <w:b/>
                <w:bCs/>
              </w:rPr>
              <w:t xml:space="preserve">NHS Bath and North East Somerset, </w:t>
            </w:r>
            <w:r w:rsidR="00C60709" w:rsidRPr="001A59D6">
              <w:rPr>
                <w:rFonts w:cs="Arial"/>
                <w:b/>
                <w:bCs/>
              </w:rPr>
              <w:t>Swindon,</w:t>
            </w:r>
            <w:r w:rsidRPr="001A59D6">
              <w:rPr>
                <w:rFonts w:cs="Arial"/>
                <w:b/>
                <w:bCs/>
              </w:rPr>
              <w:t xml:space="preserve"> and Wiltshire Integrated Care Board (ICB)</w:t>
            </w:r>
          </w:p>
        </w:tc>
      </w:tr>
      <w:tr w:rsidR="00351976" w:rsidRPr="002F7DB4" w14:paraId="662E44B7" w14:textId="77777777" w:rsidTr="00100E42">
        <w:trPr>
          <w:trHeight w:val="417"/>
        </w:trPr>
        <w:tc>
          <w:tcPr>
            <w:tcW w:w="4637" w:type="dxa"/>
            <w:shd w:val="clear" w:color="auto" w:fill="0070C0"/>
            <w:vAlign w:val="center"/>
          </w:tcPr>
          <w:p w14:paraId="0F9A4914" w14:textId="77777777" w:rsidR="00351976" w:rsidRPr="00351976" w:rsidRDefault="00351976" w:rsidP="003706A4">
            <w:pPr>
              <w:rPr>
                <w:rFonts w:cs="Arial"/>
                <w:b/>
                <w:bCs/>
                <w:color w:val="FFFFFF" w:themeColor="background1"/>
              </w:rPr>
            </w:pPr>
            <w:r w:rsidRPr="00351976">
              <w:rPr>
                <w:rFonts w:cs="Arial"/>
                <w:b/>
                <w:bCs/>
                <w:color w:val="FFFFFF" w:themeColor="background1"/>
              </w:rPr>
              <w:t>Date published</w:t>
            </w:r>
          </w:p>
        </w:tc>
        <w:tc>
          <w:tcPr>
            <w:tcW w:w="9955" w:type="dxa"/>
            <w:vAlign w:val="center"/>
          </w:tcPr>
          <w:p w14:paraId="2CF24AD9" w14:textId="1F33CF37" w:rsidR="00351976" w:rsidRPr="00717A90" w:rsidRDefault="00935120" w:rsidP="003706A4">
            <w:pPr>
              <w:rPr>
                <w:rFonts w:cs="Arial"/>
                <w:b/>
                <w:bCs/>
              </w:rPr>
            </w:pPr>
            <w:r>
              <w:rPr>
                <w:rFonts w:cs="Arial"/>
                <w:b/>
                <w:bCs/>
              </w:rPr>
              <w:t>August 2024</w:t>
            </w:r>
          </w:p>
        </w:tc>
      </w:tr>
      <w:tr w:rsidR="00351976" w:rsidRPr="002F7DB4" w14:paraId="0777C9EA" w14:textId="77777777" w:rsidTr="00100E42">
        <w:trPr>
          <w:trHeight w:val="222"/>
        </w:trPr>
        <w:tc>
          <w:tcPr>
            <w:tcW w:w="4637" w:type="dxa"/>
            <w:shd w:val="clear" w:color="auto" w:fill="0070C0"/>
            <w:vAlign w:val="center"/>
          </w:tcPr>
          <w:p w14:paraId="180F112D" w14:textId="77777777" w:rsidR="00351976" w:rsidRPr="00351976" w:rsidRDefault="00351976" w:rsidP="003706A4">
            <w:pPr>
              <w:rPr>
                <w:rFonts w:cs="Arial"/>
                <w:b/>
                <w:bCs/>
                <w:color w:val="FFFFFF" w:themeColor="background1"/>
              </w:rPr>
            </w:pPr>
            <w:r w:rsidRPr="00351976">
              <w:rPr>
                <w:rFonts w:cs="Arial"/>
                <w:b/>
                <w:bCs/>
                <w:color w:val="FFFFFF" w:themeColor="background1"/>
              </w:rPr>
              <w:t>Version</w:t>
            </w:r>
          </w:p>
        </w:tc>
        <w:tc>
          <w:tcPr>
            <w:tcW w:w="9955" w:type="dxa"/>
            <w:vAlign w:val="center"/>
          </w:tcPr>
          <w:p w14:paraId="1512A605" w14:textId="67A5776E" w:rsidR="00351976" w:rsidRPr="00717A90" w:rsidRDefault="001A59D6" w:rsidP="003706A4">
            <w:pPr>
              <w:rPr>
                <w:rFonts w:cs="Arial"/>
                <w:b/>
                <w:bCs/>
              </w:rPr>
            </w:pPr>
            <w:r>
              <w:rPr>
                <w:rFonts w:cs="Arial"/>
                <w:b/>
                <w:bCs/>
              </w:rPr>
              <w:t>0.</w:t>
            </w:r>
            <w:r w:rsidR="00CC6671">
              <w:rPr>
                <w:rFonts w:cs="Arial"/>
                <w:b/>
                <w:bCs/>
              </w:rPr>
              <w:t>4</w:t>
            </w:r>
          </w:p>
        </w:tc>
      </w:tr>
    </w:tbl>
    <w:p w14:paraId="1989BD0C" w14:textId="77777777" w:rsidR="00351976" w:rsidRDefault="00351976" w:rsidP="00351976"/>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86"/>
      </w:tblGrid>
      <w:tr w:rsidR="00351976" w:rsidRPr="00DE2C6E" w14:paraId="5A9FA162" w14:textId="77777777" w:rsidTr="00100E42">
        <w:trPr>
          <w:trHeight w:val="605"/>
        </w:trPr>
        <w:tc>
          <w:tcPr>
            <w:tcW w:w="5000" w:type="pct"/>
            <w:shd w:val="clear" w:color="auto" w:fill="0070C0"/>
            <w:vAlign w:val="center"/>
          </w:tcPr>
          <w:p w14:paraId="54264130" w14:textId="77777777" w:rsidR="00351976" w:rsidRPr="00DE2C6E" w:rsidRDefault="00351976" w:rsidP="003706A4">
            <w:pPr>
              <w:rPr>
                <w:rFonts w:cs="Arial"/>
                <w:i/>
                <w:iCs/>
                <w:color w:val="000000" w:themeColor="text1"/>
                <w:sz w:val="18"/>
                <w:szCs w:val="18"/>
              </w:rPr>
            </w:pPr>
            <w:r w:rsidRPr="00351976">
              <w:rPr>
                <w:rFonts w:cs="Arial"/>
                <w:b/>
                <w:bCs/>
                <w:color w:val="FFFFFF" w:themeColor="background1"/>
              </w:rPr>
              <w:t>Introduction</w:t>
            </w:r>
          </w:p>
        </w:tc>
      </w:tr>
      <w:tr w:rsidR="00351976" w:rsidRPr="00DE2C6E" w14:paraId="7ABBEBAC" w14:textId="77777777" w:rsidTr="00100E42">
        <w:trPr>
          <w:trHeight w:val="2169"/>
        </w:trPr>
        <w:tc>
          <w:tcPr>
            <w:tcW w:w="5000" w:type="pct"/>
            <w:shd w:val="clear" w:color="auto" w:fill="auto"/>
          </w:tcPr>
          <w:p w14:paraId="142CC238" w14:textId="77777777" w:rsidR="00CD198E" w:rsidRDefault="00CD198E" w:rsidP="00CD198E">
            <w:pPr>
              <w:spacing w:after="0" w:line="240" w:lineRule="auto"/>
              <w:contextualSpacing/>
              <w:textboxTightWrap w:val="none"/>
              <w:rPr>
                <w:rFonts w:cs="Arial"/>
                <w:color w:val="auto"/>
                <w:sz w:val="22"/>
                <w:szCs w:val="22"/>
              </w:rPr>
            </w:pPr>
          </w:p>
          <w:p w14:paraId="3BA66DF0" w14:textId="2226CFD9" w:rsidR="00CD198E" w:rsidRDefault="008A0F2D" w:rsidP="00100E42">
            <w:r w:rsidRPr="001C3FEF">
              <w:t xml:space="preserve">The Bath and </w:t>
            </w:r>
            <w:r w:rsidR="00C14803" w:rsidRPr="001C3FEF">
              <w:t>North</w:t>
            </w:r>
            <w:r w:rsidR="00C14803">
              <w:t xml:space="preserve"> </w:t>
            </w:r>
            <w:r w:rsidR="00A1739B">
              <w:t>E</w:t>
            </w:r>
            <w:r w:rsidR="00C14803" w:rsidRPr="001C3FEF">
              <w:t>ast</w:t>
            </w:r>
            <w:r w:rsidRPr="001C3FEF">
              <w:t xml:space="preserve"> </w:t>
            </w:r>
            <w:r w:rsidR="004E4AFE" w:rsidRPr="001C3FEF">
              <w:t>Somerset</w:t>
            </w:r>
            <w:r w:rsidR="004E4AFE">
              <w:t>,</w:t>
            </w:r>
            <w:r w:rsidR="004E4AFE" w:rsidRPr="001C3FEF">
              <w:t xml:space="preserve"> </w:t>
            </w:r>
            <w:r w:rsidR="00C60709" w:rsidRPr="001C3FEF">
              <w:t>Swindon,</w:t>
            </w:r>
            <w:r w:rsidRPr="001C3FEF">
              <w:t xml:space="preserve"> and Wiltshire Integrated Care </w:t>
            </w:r>
            <w:r>
              <w:t xml:space="preserve">system </w:t>
            </w:r>
            <w:r w:rsidR="000B5203">
              <w:t xml:space="preserve">(BSW) </w:t>
            </w:r>
            <w:r w:rsidR="002E1599">
              <w:t xml:space="preserve">provides healthcare </w:t>
            </w:r>
            <w:r w:rsidR="00F537CE">
              <w:t xml:space="preserve">to </w:t>
            </w:r>
            <w:r w:rsidR="000F6656">
              <w:t>980</w:t>
            </w:r>
            <w:r w:rsidR="00694916">
              <w:t>,</w:t>
            </w:r>
            <w:r w:rsidR="000F6656">
              <w:t>000</w:t>
            </w:r>
            <w:r w:rsidR="00F537CE">
              <w:t xml:space="preserve"> people</w:t>
            </w:r>
            <w:r w:rsidR="009B4014">
              <w:t xml:space="preserve">. </w:t>
            </w:r>
            <w:r w:rsidR="003D641A" w:rsidRPr="003D641A">
              <w:t>BSW is an integrated care system (ICS) made up of NHS and local authority organisations working together. Our ICS brings together an Integrated Care Board, three hospital trusts, private providers, a mental health trust, an ambulance trust and voluntary sector organisations.</w:t>
            </w:r>
          </w:p>
          <w:p w14:paraId="1B2AEE01" w14:textId="5F0C3B21" w:rsidR="002C27A6" w:rsidRDefault="009B1323" w:rsidP="00100E42">
            <w:r w:rsidRPr="002C27A6">
              <w:rPr>
                <w:rFonts w:cs="Arial"/>
                <w:noProof/>
                <w:color w:val="auto"/>
                <w:sz w:val="22"/>
                <w:szCs w:val="22"/>
              </w:rPr>
              <w:lastRenderedPageBreak/>
              <w:drawing>
                <wp:inline distT="0" distB="0" distL="0" distR="0" wp14:anchorId="734545EA" wp14:editId="44619BB2">
                  <wp:extent cx="5829300" cy="1857375"/>
                  <wp:effectExtent l="0" t="0" r="0" b="0"/>
                  <wp:docPr id="7085453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45319"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0" cy="1857375"/>
                          </a:xfrm>
                          <a:prstGeom prst="rect">
                            <a:avLst/>
                          </a:prstGeom>
                          <a:noFill/>
                          <a:ln>
                            <a:noFill/>
                          </a:ln>
                        </pic:spPr>
                      </pic:pic>
                    </a:graphicData>
                  </a:graphic>
                </wp:inline>
              </w:drawing>
            </w:r>
          </w:p>
          <w:p w14:paraId="66F52257" w14:textId="63FDD860" w:rsidR="002C27A6" w:rsidRDefault="002C27A6" w:rsidP="00CD198E">
            <w:pPr>
              <w:spacing w:after="0" w:line="240" w:lineRule="auto"/>
              <w:contextualSpacing/>
              <w:textboxTightWrap w:val="none"/>
              <w:rPr>
                <w:rFonts w:cs="Arial"/>
                <w:color w:val="auto"/>
                <w:sz w:val="22"/>
                <w:szCs w:val="22"/>
              </w:rPr>
            </w:pPr>
          </w:p>
          <w:p w14:paraId="0C65AA7D" w14:textId="3869A073" w:rsidR="000152C7" w:rsidRPr="00100E42" w:rsidRDefault="000152C7" w:rsidP="00100E42">
            <w:pPr>
              <w:spacing w:after="0" w:line="276" w:lineRule="auto"/>
              <w:contextualSpacing/>
              <w:textboxTightWrap w:val="none"/>
            </w:pPr>
            <w:r w:rsidRPr="00100E42">
              <w:t xml:space="preserve">Bath and North East </w:t>
            </w:r>
            <w:r w:rsidR="00DF04A6" w:rsidRPr="00100E42">
              <w:t>Somerset</w:t>
            </w:r>
            <w:r w:rsidR="000B5203" w:rsidRPr="00100E42">
              <w:t xml:space="preserve">, </w:t>
            </w:r>
            <w:r w:rsidR="00DF04A6" w:rsidRPr="00100E42">
              <w:t>Swindon</w:t>
            </w:r>
            <w:r w:rsidRPr="00100E42">
              <w:t xml:space="preserve"> and Wiltshire Integrated Care System (BSW Together) Integrated Care </w:t>
            </w:r>
            <w:r w:rsidR="00000BFD" w:rsidRPr="00100E42">
              <w:t>s</w:t>
            </w:r>
            <w:r w:rsidRPr="00100E42">
              <w:t>trategy</w:t>
            </w:r>
            <w:r w:rsidR="00000BFD" w:rsidRPr="00100E42">
              <w:t xml:space="preserve"> </w:t>
            </w:r>
            <w:r w:rsidRPr="00100E42">
              <w:t xml:space="preserve">sets out our ambition as partners in health, social care, voluntary and other sectors to support the people of BSW to live happier and healthier for longer. The strategy provides a direction of travel covering the whole BSW area and connects with local strategies that are being developed in each of our three areas of BaNES, </w:t>
            </w:r>
            <w:r w:rsidR="00114382" w:rsidRPr="00100E42">
              <w:t>Swindon,</w:t>
            </w:r>
            <w:r w:rsidRPr="00100E42">
              <w:t xml:space="preserve"> and Wiltshire </w:t>
            </w:r>
            <w:r w:rsidR="00C748C0" w:rsidRPr="00100E42">
              <w:t>(refer</w:t>
            </w:r>
            <w:r w:rsidR="00BD6722" w:rsidRPr="00100E42">
              <w:t>r</w:t>
            </w:r>
            <w:r w:rsidR="00C748C0" w:rsidRPr="00100E42">
              <w:t xml:space="preserve">ed </w:t>
            </w:r>
            <w:r w:rsidRPr="00100E42">
              <w:t xml:space="preserve">to as ‘Places’). </w:t>
            </w:r>
            <w:r w:rsidR="008F7DB4">
              <w:t xml:space="preserve">The ICB has a significant role to play as a system convener and has shared leadership responsibilities with </w:t>
            </w:r>
            <w:r w:rsidR="0024375C">
              <w:t xml:space="preserve">a </w:t>
            </w:r>
            <w:r w:rsidR="008F7DB4">
              <w:t>statutory function to address the wider determinants of health</w:t>
            </w:r>
            <w:r w:rsidR="0024375C">
              <w:t>. W</w:t>
            </w:r>
            <w:r w:rsidR="008F7DB4">
              <w:t xml:space="preserve">e know </w:t>
            </w:r>
            <w:r w:rsidR="0024375C">
              <w:t xml:space="preserve">socio-economic factors </w:t>
            </w:r>
            <w:r w:rsidR="008F7DB4">
              <w:t xml:space="preserve">are the </w:t>
            </w:r>
            <w:r w:rsidR="0024375C">
              <w:t>drivers</w:t>
            </w:r>
            <w:r w:rsidR="008F7DB4">
              <w:t xml:space="preserve"> of better outcomes for our population</w:t>
            </w:r>
            <w:r w:rsidR="0024375C">
              <w:t xml:space="preserve"> and w</w:t>
            </w:r>
            <w:r w:rsidR="008F7DB4">
              <w:t xml:space="preserve">e are </w:t>
            </w:r>
            <w:proofErr w:type="spellStart"/>
            <w:r w:rsidR="008F7DB4">
              <w:t>are</w:t>
            </w:r>
            <w:proofErr w:type="spellEnd"/>
            <w:r w:rsidR="008F7DB4">
              <w:t xml:space="preserve"> long term stewards of our health and social care system</w:t>
            </w:r>
            <w:r w:rsidR="0024375C">
              <w:t>.</w:t>
            </w:r>
            <w:r w:rsidR="008F7DB4">
              <w:t xml:space="preserve">  We are committed to working with government and our partners to deliver health missions across our system to help inform place shaping and this plan is a key component of this commitment.</w:t>
            </w:r>
          </w:p>
          <w:p w14:paraId="1B813AF7" w14:textId="77777777" w:rsidR="00C957AA" w:rsidRPr="00100E42" w:rsidRDefault="00C957AA" w:rsidP="00100E42">
            <w:pPr>
              <w:spacing w:after="0" w:line="276" w:lineRule="auto"/>
              <w:contextualSpacing/>
              <w:textboxTightWrap w:val="none"/>
            </w:pPr>
          </w:p>
          <w:p w14:paraId="1E6EF5F7" w14:textId="581388A0" w:rsidR="00F72DDB" w:rsidRPr="00100E42" w:rsidRDefault="00F72DDB" w:rsidP="00CD198E">
            <w:pPr>
              <w:spacing w:after="0" w:line="240" w:lineRule="auto"/>
              <w:contextualSpacing/>
              <w:textboxTightWrap w:val="none"/>
              <w:rPr>
                <w:b/>
                <w:bCs/>
              </w:rPr>
            </w:pPr>
            <w:r w:rsidRPr="00100E42">
              <w:rPr>
                <w:b/>
                <w:bCs/>
              </w:rPr>
              <w:t>Our Population</w:t>
            </w:r>
          </w:p>
          <w:p w14:paraId="17D8ED4B" w14:textId="10711380" w:rsidR="00F72DDB" w:rsidRPr="00100E42" w:rsidRDefault="00F72DDB" w:rsidP="00CD198E">
            <w:pPr>
              <w:spacing w:after="0" w:line="240" w:lineRule="auto"/>
              <w:contextualSpacing/>
              <w:textboxTightWrap w:val="none"/>
            </w:pPr>
            <w:r w:rsidRPr="00100E42">
              <w:t>Approximately 940,000 people live in the BSW ICB catchment area. Residents are spread out across a large and varied geographical area, which includes the densely populated town of Swindon to the north, Salisbury plains to the south, and Bath and the rolling Mendip Hills to the west.</w:t>
            </w:r>
            <w:r w:rsidR="006052B2">
              <w:t xml:space="preserve"> </w:t>
            </w:r>
            <w:r w:rsidRPr="00100E42">
              <w:t xml:space="preserve">The age profile of the BSW population is changing and this is </w:t>
            </w:r>
            <w:r w:rsidR="00BD72F1">
              <w:t>placing</w:t>
            </w:r>
            <w:r w:rsidRPr="00100E42">
              <w:t xml:space="preserve"> further pressure on health and care services. In Wiltshire alone, the 65+ population currently represents just over a fifth of the population but by 2040 this age group will make up nearly a third of the total population. This will also have the long-term effect of reducing the proportion of our population who are working.</w:t>
            </w:r>
          </w:p>
          <w:p w14:paraId="586038DB" w14:textId="77777777" w:rsidR="00F72DDB" w:rsidRPr="00100E42" w:rsidRDefault="00F72DDB" w:rsidP="00CD198E">
            <w:pPr>
              <w:spacing w:after="0" w:line="240" w:lineRule="auto"/>
              <w:contextualSpacing/>
              <w:textboxTightWrap w:val="none"/>
            </w:pPr>
          </w:p>
          <w:p w14:paraId="6844A658" w14:textId="5C6A1A9A" w:rsidR="00F72DDB" w:rsidRDefault="00F72DDB" w:rsidP="00CD198E">
            <w:pPr>
              <w:spacing w:after="0" w:line="240" w:lineRule="auto"/>
              <w:contextualSpacing/>
              <w:textboxTightWrap w:val="none"/>
            </w:pPr>
            <w:r w:rsidRPr="00100E42">
              <w:t>Deprivation levels are highest in Swindon</w:t>
            </w:r>
            <w:r w:rsidR="008F7DB4">
              <w:t xml:space="preserve">, with pockets of multiple deprivation across BSW, often </w:t>
            </w:r>
            <w:proofErr w:type="spellStart"/>
            <w:r w:rsidR="008F7DB4">
              <w:t>multi generational</w:t>
            </w:r>
            <w:proofErr w:type="spellEnd"/>
            <w:r w:rsidR="008F7DB4">
              <w:t>,</w:t>
            </w:r>
            <w:r w:rsidRPr="00100E42">
              <w:t xml:space="preserve"> there are significant differences in life expectancy depending on where you live in BSW. The prevalence of many health conditions is higher for those living in less advantaged communities. People living in these more deprived areas do not live </w:t>
            </w:r>
            <w:proofErr w:type="gramStart"/>
            <w:r w:rsidRPr="00100E42">
              <w:t>as long as</w:t>
            </w:r>
            <w:proofErr w:type="gramEnd"/>
            <w:r w:rsidRPr="00100E42">
              <w:t xml:space="preserve"> those in other areas, and they are more likely to experience physical and mental health issues. Tackling inequality is a priority for all our partner organisations and supported through our BSW Inequalities Strategy.</w:t>
            </w:r>
            <w:r w:rsidR="00E908F8">
              <w:t xml:space="preserve"> We recognise our role as a partner in the system to tackle the drivers of inequalities to deliver the </w:t>
            </w:r>
            <w:r w:rsidR="00E908F8">
              <w:lastRenderedPageBreak/>
              <w:t>broader health and social care agendas.</w:t>
            </w:r>
            <w:r w:rsidR="00E908F8">
              <w:br/>
            </w:r>
          </w:p>
          <w:p w14:paraId="7FE698D7" w14:textId="010D77CB" w:rsidR="00F72DDB" w:rsidRPr="00100E42" w:rsidRDefault="00F72DDB" w:rsidP="00CD198E">
            <w:pPr>
              <w:spacing w:after="0" w:line="240" w:lineRule="auto"/>
              <w:contextualSpacing/>
              <w:textboxTightWrap w:val="none"/>
              <w:rPr>
                <w:b/>
                <w:bCs/>
              </w:rPr>
            </w:pPr>
            <w:r w:rsidRPr="00100E42">
              <w:rPr>
                <w:b/>
                <w:bCs/>
              </w:rPr>
              <w:t>Our Vision</w:t>
            </w:r>
          </w:p>
          <w:p w14:paraId="6286472F" w14:textId="42DBC703" w:rsidR="008873C5" w:rsidRDefault="00934091" w:rsidP="00211635">
            <w:pPr>
              <w:spacing w:after="0" w:line="240" w:lineRule="auto"/>
              <w:contextualSpacing/>
              <w:textboxTightWrap w:val="none"/>
            </w:pPr>
            <w:r w:rsidRPr="00100E42">
              <w:t xml:space="preserve">The ICB has a </w:t>
            </w:r>
            <w:r w:rsidR="0078598E" w:rsidRPr="00100E42">
              <w:t>collective vision:</w:t>
            </w:r>
            <w:r w:rsidRPr="00100E42">
              <w:t xml:space="preserve"> </w:t>
            </w:r>
            <w:r w:rsidR="002950BB">
              <w:t>w</w:t>
            </w:r>
            <w:r w:rsidR="001D316F" w:rsidRPr="00100E42">
              <w:t>e listen and work effectively together to improve health and wellbeing and reduce inequalities.</w:t>
            </w:r>
            <w:r w:rsidR="002C27A6" w:rsidRPr="00100E42">
              <w:t xml:space="preserve"> </w:t>
            </w:r>
          </w:p>
          <w:p w14:paraId="22D45736" w14:textId="77777777" w:rsidR="008873C5" w:rsidRDefault="008873C5" w:rsidP="00211635">
            <w:pPr>
              <w:spacing w:after="0" w:line="240" w:lineRule="auto"/>
              <w:contextualSpacing/>
              <w:textboxTightWrap w:val="none"/>
            </w:pPr>
          </w:p>
          <w:p w14:paraId="495DA478" w14:textId="227CA50B" w:rsidR="00211635" w:rsidRDefault="006D3FF0" w:rsidP="00211635">
            <w:pPr>
              <w:spacing w:after="0" w:line="240" w:lineRule="auto"/>
              <w:contextualSpacing/>
              <w:textboxTightWrap w:val="none"/>
            </w:pPr>
            <w:r w:rsidRPr="00100E42">
              <w:t>Our vision is for health and care organisations to work more effectively in partnership. This will be crucial to creating communities and environments that help people to live healthier for longer. We will therefore deliver joined-up support across our health and care services that better meets the needs of the population. Working more closely together will also allow NHS organisations and local authorities to use public money more efficiently. Ensuring value for money is a key commitment across BSW and we are grateful for the additional investment that our VCSE</w:t>
            </w:r>
            <w:r w:rsidR="006052B2">
              <w:t xml:space="preserve"> </w:t>
            </w:r>
            <w:r w:rsidRPr="00100E42">
              <w:t>partners help to secure.</w:t>
            </w:r>
            <w:r w:rsidR="00AB33A0">
              <w:t xml:space="preserve"> </w:t>
            </w:r>
            <w:r w:rsidR="00211635" w:rsidRPr="00100E42">
              <w:t>As anchor institutions in our local communities, we work in and deliver services, we can create more opportunities for local businesses, and we can provide better access to the facilities and the spaces we own in our communities.</w:t>
            </w:r>
          </w:p>
          <w:p w14:paraId="060F798D" w14:textId="77777777" w:rsidR="00EB4CF2" w:rsidRDefault="00EB4CF2" w:rsidP="00211635">
            <w:pPr>
              <w:spacing w:after="0" w:line="240" w:lineRule="auto"/>
              <w:contextualSpacing/>
              <w:textboxTightWrap w:val="none"/>
            </w:pPr>
          </w:p>
          <w:p w14:paraId="75A9B70D" w14:textId="2724A7AD" w:rsidR="00CE6370" w:rsidRPr="00893B55" w:rsidRDefault="00EB4CF2" w:rsidP="00CE6370">
            <w:pPr>
              <w:pStyle w:val="NoSpacing"/>
              <w:spacing w:line="276" w:lineRule="auto"/>
            </w:pPr>
            <w:r>
              <w:t xml:space="preserve">We are already demonstrating where that vision has become a reality with the help of capital investment to </w:t>
            </w:r>
            <w:r w:rsidR="00CE6370">
              <w:t>improve</w:t>
            </w:r>
            <w:r>
              <w:t xml:space="preserve"> local services. </w:t>
            </w:r>
            <w:r w:rsidR="00CE6370" w:rsidRPr="00893B55">
              <w:t xml:space="preserve">Our state-of-the-art health centre in Devizes is one of the country’s first fully net zero health facilities and a flagship site for truly integrated care. Multiple health and care services work under the same roof, to help reduce duplication, join up services and streamline the patient experience. The centre is a tangible example of how capital investment in local estates and facilities can improve the way we look after patients and the working lives of hardworking health and care staff. </w:t>
            </w:r>
          </w:p>
          <w:p w14:paraId="037D8969" w14:textId="77777777" w:rsidR="00771D90" w:rsidRPr="00893B55" w:rsidRDefault="00771D90" w:rsidP="00CE6370">
            <w:pPr>
              <w:pStyle w:val="NoSpacing"/>
              <w:spacing w:line="276" w:lineRule="auto"/>
            </w:pPr>
          </w:p>
          <w:p w14:paraId="3DBEDE3E" w14:textId="23448DB1" w:rsidR="00771D90" w:rsidRPr="00893B55" w:rsidRDefault="00771D90" w:rsidP="00CE6370">
            <w:pPr>
              <w:pStyle w:val="NoSpacing"/>
              <w:spacing w:line="276" w:lineRule="auto"/>
            </w:pPr>
            <w:r w:rsidRPr="00893B55">
              <w:t xml:space="preserve">Another </w:t>
            </w:r>
            <w:r w:rsidR="003E433F" w:rsidRPr="00893B55">
              <w:t>notable example</w:t>
            </w:r>
            <w:r w:rsidRPr="00893B55">
              <w:t xml:space="preserve"> of how we are integrating services is at the Great Western Hospital in Swindon, where Urgent &amp; Emergency services are being brought together as part of an ‘Integrated Front Door.’ This multi-year capital project co-locates an Urgent Treatment Centre with a new Emergency Department, a </w:t>
            </w:r>
            <w:r w:rsidR="00F86F26" w:rsidRPr="00893B55">
              <w:t>purpose-built</w:t>
            </w:r>
            <w:r w:rsidRPr="00893B55">
              <w:t xml:space="preserve"> Children’s Emergency </w:t>
            </w:r>
            <w:r w:rsidR="00C60709" w:rsidRPr="00893B55">
              <w:t>Unit,</w:t>
            </w:r>
            <w:r w:rsidRPr="00893B55">
              <w:t xml:space="preserve"> and a Medical Assessment Unit, meaning that patients attending the hospital for urgent care can be assessed and treated quickly and in the most appropriate part of the service for their need.</w:t>
            </w:r>
          </w:p>
          <w:p w14:paraId="2E4B5F85" w14:textId="77777777" w:rsidR="00771D90" w:rsidRDefault="00771D90" w:rsidP="00CE6370">
            <w:pPr>
              <w:pStyle w:val="NoSpacing"/>
              <w:spacing w:line="276" w:lineRule="auto"/>
              <w:rPr>
                <w:rFonts w:cstheme="minorHAnsi"/>
                <w:sz w:val="23"/>
                <w:szCs w:val="23"/>
              </w:rPr>
            </w:pPr>
          </w:p>
          <w:p w14:paraId="7903D892" w14:textId="77777777" w:rsidR="0056585C" w:rsidRPr="0086457C" w:rsidRDefault="0056585C" w:rsidP="0056585C">
            <w:pPr>
              <w:rPr>
                <w:b/>
                <w:bCs/>
              </w:rPr>
            </w:pPr>
            <w:r>
              <w:rPr>
                <w:b/>
                <w:bCs/>
              </w:rPr>
              <w:t xml:space="preserve">About this plan - </w:t>
            </w:r>
            <w:r w:rsidRPr="0086457C">
              <w:rPr>
                <w:b/>
                <w:bCs/>
              </w:rPr>
              <w:t>Strategic capital projects at BSW</w:t>
            </w:r>
          </w:p>
          <w:p w14:paraId="239863A9" w14:textId="77777777" w:rsidR="0056585C" w:rsidRDefault="0056585C" w:rsidP="00B91191">
            <w:pPr>
              <w:spacing w:line="240" w:lineRule="auto"/>
            </w:pPr>
            <w:r w:rsidRPr="00221359">
              <w:t>Th</w:t>
            </w:r>
            <w:r>
              <w:t>is plan outlines our intention to prioritise capital projects and schemes within the budget we have available. It is correct at time of writing, but along with other systems across England, we are awaiting further national steer and direction following the Chancellor’s statement on public finances on 29 July 2024, which referenced a review of the New Hospitals Programme (NHP) along with other public sector and health-specific infrastructure projects.</w:t>
            </w:r>
          </w:p>
          <w:p w14:paraId="2833FF5F" w14:textId="77777777" w:rsidR="0056585C" w:rsidRPr="00100E42" w:rsidRDefault="0056585C" w:rsidP="0056585C">
            <w:pPr>
              <w:spacing w:after="0" w:line="240" w:lineRule="auto"/>
              <w:contextualSpacing/>
              <w:textboxTightWrap w:val="none"/>
            </w:pPr>
            <w:r>
              <w:lastRenderedPageBreak/>
              <w:t>The</w:t>
            </w:r>
            <w:r w:rsidRPr="00221359">
              <w:t xml:space="preserve"> </w:t>
            </w:r>
            <w:r>
              <w:t xml:space="preserve">BSW </w:t>
            </w:r>
            <w:r w:rsidRPr="00221359">
              <w:t>system aims to best deploy operational and national capital to support strategic priorities. It is however recognised that the level of capital resource available to BSW does not allow all strategic priorities to be delivered</w:t>
            </w:r>
            <w:r>
              <w:t xml:space="preserve">. We must take a strategic approach to investment, working together as a </w:t>
            </w:r>
            <w:r w:rsidRPr="00221359">
              <w:t>system to prioritise our available capital and ensure we maximise opportunities to align resources and investment across the system partners.</w:t>
            </w:r>
          </w:p>
          <w:p w14:paraId="2D80A340" w14:textId="77777777" w:rsidR="0056585C" w:rsidRDefault="0056585C" w:rsidP="003459A1">
            <w:pPr>
              <w:spacing w:after="0" w:line="240" w:lineRule="auto"/>
              <w:contextualSpacing/>
              <w:textboxTightWrap w:val="none"/>
            </w:pPr>
          </w:p>
          <w:p w14:paraId="1A415A51" w14:textId="327ED307" w:rsidR="003459A1" w:rsidRPr="00100E42" w:rsidRDefault="003459A1" w:rsidP="003459A1">
            <w:pPr>
              <w:spacing w:after="0" w:line="240" w:lineRule="auto"/>
              <w:contextualSpacing/>
              <w:textboxTightWrap w:val="none"/>
            </w:pPr>
            <w:r w:rsidRPr="00100E42">
              <w:t xml:space="preserve">As a system, we need to develop a comprehensive joined-up approach to capital and revenue planning and investment across our infrastructure. </w:t>
            </w:r>
            <w:r w:rsidR="00433894" w:rsidRPr="00100E42">
              <w:t>It is</w:t>
            </w:r>
            <w:r w:rsidRPr="00100E42">
              <w:t xml:space="preserve"> important we do this to ensure we collectively make the best use of the capital we have available to us and ensure our investment decisions deliver maximum benefits for our population.</w:t>
            </w:r>
          </w:p>
          <w:p w14:paraId="12252AFD" w14:textId="77777777" w:rsidR="00DD57EC" w:rsidRPr="00100E42" w:rsidRDefault="00DD57EC" w:rsidP="00DD57EC">
            <w:pPr>
              <w:spacing w:after="0" w:line="240" w:lineRule="auto"/>
              <w:contextualSpacing/>
              <w:textboxTightWrap w:val="none"/>
            </w:pPr>
          </w:p>
          <w:p w14:paraId="36EED712" w14:textId="4BBC3DBD" w:rsidR="00DD57EC" w:rsidRPr="00100E42" w:rsidRDefault="00DD57EC" w:rsidP="00DD57EC">
            <w:pPr>
              <w:spacing w:after="0" w:line="240" w:lineRule="auto"/>
              <w:contextualSpacing/>
              <w:textboxTightWrap w:val="none"/>
            </w:pPr>
            <w:r w:rsidRPr="00100E42">
              <w:t>This plan builds on system successes in 202</w:t>
            </w:r>
            <w:r w:rsidR="00E66EBB" w:rsidRPr="00100E42">
              <w:t>3</w:t>
            </w:r>
            <w:r w:rsidRPr="00100E42">
              <w:t>/2</w:t>
            </w:r>
            <w:r w:rsidR="0078598E" w:rsidRPr="00100E42">
              <w:t>4</w:t>
            </w:r>
            <w:r w:rsidRPr="00100E42">
              <w:t xml:space="preserve">, including how the funding will support delivery of operational and national capital to support strategic priorities and local system priorities (increasing capacity through elective recovery, </w:t>
            </w:r>
            <w:r w:rsidR="006F3320" w:rsidRPr="00100E42">
              <w:t>Electronic Patient Records</w:t>
            </w:r>
            <w:r w:rsidR="00C32278" w:rsidRPr="00100E42">
              <w:t>, Integrated Front Door, Diagnostics</w:t>
            </w:r>
            <w:r w:rsidR="00D96CB6" w:rsidRPr="00100E42">
              <w:t xml:space="preserve">, </w:t>
            </w:r>
            <w:r w:rsidR="00C32278" w:rsidRPr="00100E42">
              <w:t xml:space="preserve">and </w:t>
            </w:r>
            <w:r w:rsidRPr="00100E42">
              <w:t>new build</w:t>
            </w:r>
            <w:r w:rsidR="00C32278" w:rsidRPr="00100E42">
              <w:t xml:space="preserve"> schemes</w:t>
            </w:r>
            <w:r w:rsidR="00935120">
              <w:t>)</w:t>
            </w:r>
            <w:r w:rsidRPr="00100E42">
              <w:t xml:space="preserve">. </w:t>
            </w:r>
          </w:p>
          <w:p w14:paraId="50F51AA4" w14:textId="77777777" w:rsidR="00E17E64" w:rsidRPr="00100E42" w:rsidRDefault="00E17E64" w:rsidP="00DD57EC">
            <w:pPr>
              <w:spacing w:after="0" w:line="240" w:lineRule="auto"/>
              <w:contextualSpacing/>
              <w:textboxTightWrap w:val="none"/>
            </w:pPr>
          </w:p>
          <w:p w14:paraId="732F60EE" w14:textId="7BEA284D" w:rsidR="00485646" w:rsidRPr="00100E42" w:rsidRDefault="009F5E24" w:rsidP="00485646">
            <w:pPr>
              <w:spacing w:after="0" w:line="240" w:lineRule="auto"/>
              <w:contextualSpacing/>
              <w:textboxTightWrap w:val="none"/>
              <w:rPr>
                <w:b/>
                <w:bCs/>
              </w:rPr>
            </w:pPr>
            <w:r w:rsidRPr="00100E42">
              <w:rPr>
                <w:b/>
                <w:bCs/>
              </w:rPr>
              <w:t xml:space="preserve">BSW </w:t>
            </w:r>
            <w:r w:rsidR="00485646" w:rsidRPr="00100E42">
              <w:rPr>
                <w:b/>
                <w:bCs/>
              </w:rPr>
              <w:t>Key Strategic Drivers</w:t>
            </w:r>
          </w:p>
          <w:p w14:paraId="7BA685B7" w14:textId="5ADA7254" w:rsidR="00485646" w:rsidRPr="00100E42" w:rsidRDefault="00485646" w:rsidP="00485646">
            <w:pPr>
              <w:spacing w:after="0" w:line="240" w:lineRule="auto"/>
              <w:contextualSpacing/>
              <w:textboxTightWrap w:val="none"/>
            </w:pPr>
            <w:r w:rsidRPr="00100E42">
              <w:t xml:space="preserve">The strategic drivers underpinning the </w:t>
            </w:r>
            <w:r w:rsidR="0014315B">
              <w:t>plan</w:t>
            </w:r>
            <w:r w:rsidR="0014315B" w:rsidRPr="00100E42">
              <w:t xml:space="preserve"> </w:t>
            </w:r>
            <w:r w:rsidRPr="00100E42">
              <w:t>include:</w:t>
            </w:r>
          </w:p>
          <w:p w14:paraId="6FA088A4" w14:textId="77777777" w:rsidR="00B54E2F" w:rsidRPr="00100E42" w:rsidRDefault="00B54E2F" w:rsidP="00485646">
            <w:pPr>
              <w:spacing w:after="0" w:line="240" w:lineRule="auto"/>
              <w:contextualSpacing/>
              <w:textboxTightWrap w:val="none"/>
            </w:pPr>
          </w:p>
          <w:p w14:paraId="3E64B60A" w14:textId="29AD1237" w:rsidR="00485646" w:rsidRDefault="00485646" w:rsidP="00485646">
            <w:pPr>
              <w:spacing w:after="0" w:line="240" w:lineRule="auto"/>
              <w:contextualSpacing/>
              <w:textboxTightWrap w:val="none"/>
            </w:pPr>
            <w:r w:rsidRPr="00100E42">
              <w:rPr>
                <w:b/>
                <w:bCs/>
              </w:rPr>
              <w:t>Tackling health inequalities</w:t>
            </w:r>
            <w:r w:rsidRPr="00100E42">
              <w:t>: There is a strong link between a higher prevalence of health conditions and living in less advantaged communities. Delivering interventions within the community and as close to peoples’ homes improves access; promotes prevention; and results in better outcomes.</w:t>
            </w:r>
          </w:p>
          <w:p w14:paraId="1F5EA204" w14:textId="77777777" w:rsidR="00F77794" w:rsidRPr="00100E42" w:rsidRDefault="00F77794" w:rsidP="00485646">
            <w:pPr>
              <w:spacing w:after="0" w:line="240" w:lineRule="auto"/>
              <w:contextualSpacing/>
              <w:textboxTightWrap w:val="none"/>
            </w:pPr>
          </w:p>
          <w:p w14:paraId="23F8A52F" w14:textId="3BF0C913" w:rsidR="00B54E2F" w:rsidRPr="00100E42" w:rsidRDefault="00485646" w:rsidP="00485646">
            <w:pPr>
              <w:spacing w:after="0" w:line="240" w:lineRule="auto"/>
              <w:contextualSpacing/>
              <w:textboxTightWrap w:val="none"/>
            </w:pPr>
            <w:r w:rsidRPr="00100E42">
              <w:rPr>
                <w:b/>
                <w:bCs/>
              </w:rPr>
              <w:t>Addressing an ageing population</w:t>
            </w:r>
            <w:r w:rsidRPr="00100E42">
              <w:t>:</w:t>
            </w:r>
          </w:p>
          <w:p w14:paraId="578C6615" w14:textId="6EEBEFC9" w:rsidR="0014315B" w:rsidRDefault="00485646" w:rsidP="00485646">
            <w:pPr>
              <w:spacing w:after="0" w:line="240" w:lineRule="auto"/>
              <w:contextualSpacing/>
              <w:textboxTightWrap w:val="none"/>
            </w:pPr>
            <w:r w:rsidRPr="00100E42">
              <w:t xml:space="preserve">Ageing well and keeping people healthier for longer within our communities can reduce pressure from increased complexity, multimorbidity, and frailty. We know that the BSW population is projected to grow by 6% over the next 15 years, meaning </w:t>
            </w:r>
            <w:r w:rsidR="00433894" w:rsidRPr="00100E42">
              <w:t>there will</w:t>
            </w:r>
            <w:r w:rsidRPr="00100E42">
              <w:t xml:space="preserve"> be an extra 60,000 BSW residents by 2038. This growth will be focused in the over 60s population, meaning a 35% growth in our population aged 60+.</w:t>
            </w:r>
            <w:r w:rsidR="00976925" w:rsidRPr="00100E42">
              <w:t xml:space="preserve"> </w:t>
            </w:r>
          </w:p>
          <w:p w14:paraId="366B1ABE" w14:textId="77777777" w:rsidR="00101146" w:rsidRDefault="00101146" w:rsidP="00485646">
            <w:pPr>
              <w:spacing w:after="0" w:line="240" w:lineRule="auto"/>
              <w:contextualSpacing/>
              <w:textboxTightWrap w:val="none"/>
            </w:pPr>
          </w:p>
          <w:p w14:paraId="1F74AB82" w14:textId="3F70702E" w:rsidR="00485646" w:rsidRPr="00100E42" w:rsidRDefault="00485646" w:rsidP="00485646">
            <w:pPr>
              <w:spacing w:after="0" w:line="240" w:lineRule="auto"/>
              <w:contextualSpacing/>
              <w:textboxTightWrap w:val="none"/>
            </w:pPr>
            <w:r w:rsidRPr="00B91191">
              <w:rPr>
                <w:b/>
                <w:bCs/>
              </w:rPr>
              <w:t xml:space="preserve">Increasing pressure on existing </w:t>
            </w:r>
            <w:r w:rsidR="00F77794" w:rsidRPr="00B91191">
              <w:rPr>
                <w:b/>
                <w:bCs/>
              </w:rPr>
              <w:t xml:space="preserve">services: </w:t>
            </w:r>
            <w:r w:rsidR="00F77794" w:rsidRPr="00100E42">
              <w:t>BSW</w:t>
            </w:r>
            <w:r w:rsidRPr="00100E42">
              <w:t xml:space="preserve"> health services are currently stretched, in particular urgent and emergency services. We must transform how we deliver care and support to either reduce pressure or improve our ability to deal with it, as set out within the Carter Review.</w:t>
            </w:r>
            <w:r w:rsidR="00AC6B39">
              <w:t xml:space="preserve"> </w:t>
            </w:r>
            <w:r w:rsidRPr="00100E42">
              <w:t>Addressing wider health and care pressure: Improving prevention and early intervention will not only help people to live healthier lives, but reduce avoidable demand on our wider health system, meaning resources can be utilised elsewhere and reinvested in line with the Naylor Report recommendations.</w:t>
            </w:r>
          </w:p>
          <w:p w14:paraId="2B6B0BAE" w14:textId="77777777" w:rsidR="00485646" w:rsidRPr="00100E42" w:rsidRDefault="00485646" w:rsidP="00DD57EC">
            <w:pPr>
              <w:spacing w:after="0" w:line="240" w:lineRule="auto"/>
              <w:contextualSpacing/>
              <w:textboxTightWrap w:val="none"/>
            </w:pPr>
          </w:p>
          <w:p w14:paraId="6DF020C1" w14:textId="06680538" w:rsidR="008B38BE" w:rsidRPr="00100E42" w:rsidRDefault="008B38BE" w:rsidP="00CD198E">
            <w:pPr>
              <w:spacing w:after="0" w:line="240" w:lineRule="auto"/>
              <w:contextualSpacing/>
              <w:textboxTightWrap w:val="none"/>
              <w:rPr>
                <w:b/>
                <w:bCs/>
              </w:rPr>
            </w:pPr>
            <w:r w:rsidRPr="00100E42">
              <w:rPr>
                <w:b/>
                <w:bCs/>
              </w:rPr>
              <w:t>Key Objective</w:t>
            </w:r>
            <w:r w:rsidR="00811D81">
              <w:rPr>
                <w:b/>
                <w:bCs/>
              </w:rPr>
              <w:t>s</w:t>
            </w:r>
          </w:p>
          <w:p w14:paraId="64DA51A2" w14:textId="0C8B4098" w:rsidR="008B38BE" w:rsidRPr="00100E42" w:rsidRDefault="008B38BE" w:rsidP="008B38BE">
            <w:pPr>
              <w:spacing w:after="0" w:line="240" w:lineRule="auto"/>
              <w:contextualSpacing/>
              <w:textboxTightWrap w:val="none"/>
            </w:pPr>
            <w:r w:rsidRPr="00100E42">
              <w:t xml:space="preserve">Our first objective reflects our shared commitment to ensuring people are able to stay healthier for longer. It unites all partners across BSW and is a key part of our rationale for </w:t>
            </w:r>
            <w:r w:rsidR="0014315B">
              <w:t>working</w:t>
            </w:r>
            <w:r w:rsidRPr="00100E42">
              <w:t xml:space="preserve"> </w:t>
            </w:r>
            <w:r w:rsidR="00D21DD0" w:rsidRPr="00100E42">
              <w:t>together. It</w:t>
            </w:r>
            <w:r w:rsidRPr="00100E42">
              <w:t xml:space="preserve"> is our first objective because the most effective way to improve healthy life </w:t>
            </w:r>
            <w:r w:rsidRPr="00100E42">
              <w:lastRenderedPageBreak/>
              <w:t xml:space="preserve">expectancy is to create the right conditions, communities and environments for children and adults to remain healthy, regardless of where they live in BSW. </w:t>
            </w:r>
          </w:p>
          <w:p w14:paraId="10EFC20B" w14:textId="77777777" w:rsidR="00325DDB" w:rsidRPr="00100E42" w:rsidRDefault="00325DDB" w:rsidP="008B38BE">
            <w:pPr>
              <w:spacing w:after="0" w:line="240" w:lineRule="auto"/>
              <w:contextualSpacing/>
              <w:textboxTightWrap w:val="none"/>
            </w:pPr>
          </w:p>
          <w:p w14:paraId="010100BD" w14:textId="5C0A9C2A" w:rsidR="00A37DED" w:rsidRPr="00100E42" w:rsidRDefault="00A37DED" w:rsidP="00100E42">
            <w:pPr>
              <w:spacing w:after="0" w:line="240" w:lineRule="auto"/>
              <w:contextualSpacing/>
              <w:textboxTightWrap w:val="none"/>
            </w:pPr>
            <w:r w:rsidRPr="00100E42">
              <w:t xml:space="preserve">Capital investment plays a crucial role in acquiring expanding and integrating care through new </w:t>
            </w:r>
            <w:r w:rsidR="00AB33A0" w:rsidRPr="00AB33A0">
              <w:t>estate and</w:t>
            </w:r>
            <w:r w:rsidRPr="00100E42">
              <w:t xml:space="preserve"> upgrading older estate to address maintenance backlogs or repurpose them, new clinical equipment, Electronic Patient record system and delivering diagnostic hubs. However, accessing sufficient capital funding through the NHS remains a challenge. The availability of funds is limited, and the bidding processes often have short notice periods, making it difficult to plan strategically for capital expenditure. Additionally, obtaining approval for business cases can be </w:t>
            </w:r>
            <w:r w:rsidR="002A3421">
              <w:t>lengthy</w:t>
            </w:r>
            <w:r w:rsidRPr="00100E42">
              <w:t xml:space="preserve">. It is imperative that we secure adequate capital funding to support the </w:t>
            </w:r>
            <w:r w:rsidR="00101146">
              <w:t xml:space="preserve">Strategic </w:t>
            </w:r>
            <w:r w:rsidRPr="00100E42">
              <w:t>transformation of our services and have the flexibility to allocate it to agreed system infrastructure priorities.</w:t>
            </w:r>
            <w:r w:rsidR="00D72984">
              <w:t xml:space="preserve"> As an ICB we continue to work with partners to explore all opportunities to maximise assets, capital funding streams and blending investment opportunities to achieve best outcomes against shared priorities, this requires a matrix and developing partnership approach as it is not in the gift of any one organisation.</w:t>
            </w:r>
          </w:p>
          <w:p w14:paraId="00F9595A" w14:textId="77777777" w:rsidR="00A37DED" w:rsidRPr="00100E42" w:rsidRDefault="00A37DED" w:rsidP="00CD198E">
            <w:pPr>
              <w:spacing w:after="0" w:line="240" w:lineRule="auto"/>
              <w:contextualSpacing/>
              <w:textboxTightWrap w:val="none"/>
            </w:pPr>
          </w:p>
          <w:p w14:paraId="16D4BF4F" w14:textId="77777777" w:rsidR="00351976" w:rsidRPr="00D90DE4" w:rsidRDefault="00351976" w:rsidP="00325DDB">
            <w:pPr>
              <w:spacing w:after="0" w:line="240" w:lineRule="auto"/>
              <w:contextualSpacing/>
              <w:textboxTightWrap w:val="none"/>
              <w:rPr>
                <w:rFonts w:cs="Arial"/>
                <w:i/>
                <w:color w:val="auto"/>
                <w:sz w:val="22"/>
                <w:szCs w:val="22"/>
              </w:rPr>
            </w:pPr>
          </w:p>
        </w:tc>
      </w:tr>
    </w:tbl>
    <w:p w14:paraId="6D1234A3" w14:textId="77777777" w:rsidR="00E66EBB" w:rsidRDefault="00E66EBB" w:rsidP="002543B2">
      <w:pPr>
        <w:pStyle w:val="Default"/>
        <w:rPr>
          <w:sz w:val="22"/>
          <w:szCs w:val="22"/>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86"/>
      </w:tblGrid>
      <w:tr w:rsidR="00C16D24" w:rsidRPr="00DE2C6E" w14:paraId="22DF53CD" w14:textId="77777777" w:rsidTr="00100E42">
        <w:trPr>
          <w:trHeight w:val="605"/>
        </w:trPr>
        <w:tc>
          <w:tcPr>
            <w:tcW w:w="5000" w:type="pct"/>
            <w:shd w:val="clear" w:color="auto" w:fill="0070C0"/>
            <w:vAlign w:val="center"/>
          </w:tcPr>
          <w:p w14:paraId="13A7AE88" w14:textId="77777777" w:rsidR="00C16D24" w:rsidRPr="00DE2C6E" w:rsidRDefault="00C16D24" w:rsidP="001C3FEF">
            <w:pPr>
              <w:rPr>
                <w:rFonts w:cs="Arial"/>
                <w:i/>
                <w:iCs/>
                <w:color w:val="000000" w:themeColor="text1"/>
                <w:sz w:val="18"/>
                <w:szCs w:val="18"/>
              </w:rPr>
            </w:pPr>
            <w:r w:rsidRPr="00351976">
              <w:rPr>
                <w:rFonts w:cs="Arial"/>
                <w:b/>
                <w:bCs/>
                <w:color w:val="FFFFFF" w:themeColor="background1"/>
              </w:rPr>
              <w:t>2024/25 CDEL allocations and sources of funding</w:t>
            </w:r>
          </w:p>
        </w:tc>
      </w:tr>
      <w:tr w:rsidR="00C16D24" w:rsidRPr="00CA1AA6" w14:paraId="175A60D8" w14:textId="77777777" w:rsidTr="00100E42">
        <w:trPr>
          <w:trHeight w:val="132"/>
        </w:trPr>
        <w:tc>
          <w:tcPr>
            <w:tcW w:w="5000" w:type="pct"/>
            <w:shd w:val="clear" w:color="auto" w:fill="auto"/>
          </w:tcPr>
          <w:p w14:paraId="25A688CD" w14:textId="77777777" w:rsidR="00C16D24" w:rsidRDefault="00C16D24" w:rsidP="001C3FEF">
            <w:pPr>
              <w:spacing w:after="0" w:line="240" w:lineRule="auto"/>
              <w:contextualSpacing/>
              <w:textboxTightWrap w:val="none"/>
              <w:rPr>
                <w:rFonts w:cs="Arial"/>
                <w:i/>
                <w:iCs/>
                <w:color w:val="auto"/>
                <w:sz w:val="22"/>
                <w:szCs w:val="22"/>
              </w:rPr>
            </w:pPr>
          </w:p>
          <w:p w14:paraId="00DAD6CD" w14:textId="77777777" w:rsidR="00C16D24" w:rsidRPr="00100E42" w:rsidRDefault="00C16D24" w:rsidP="001C3FEF">
            <w:pPr>
              <w:spacing w:after="0" w:line="240" w:lineRule="auto"/>
              <w:contextualSpacing/>
              <w:textboxTightWrap w:val="none"/>
              <w:rPr>
                <w:b/>
                <w:bCs/>
              </w:rPr>
            </w:pPr>
            <w:r w:rsidRPr="00100E42">
              <w:rPr>
                <w:b/>
                <w:bCs/>
              </w:rPr>
              <w:t>Funding Sources</w:t>
            </w:r>
          </w:p>
          <w:p w14:paraId="666F1E08" w14:textId="39D2F657" w:rsidR="00C16D24" w:rsidRPr="00100E42" w:rsidRDefault="00C16D24" w:rsidP="001C3FEF">
            <w:pPr>
              <w:spacing w:after="0" w:line="240" w:lineRule="auto"/>
              <w:contextualSpacing/>
              <w:textboxTightWrap w:val="none"/>
            </w:pPr>
            <w:r w:rsidRPr="00100E42">
              <w:t>The ICB has been notified by NHS England of its provider system operational capital resource which has been allocated to individual organisations based on the national methodology</w:t>
            </w:r>
            <w:r w:rsidR="00114382" w:rsidRPr="00100E42">
              <w:t xml:space="preserve">. </w:t>
            </w:r>
          </w:p>
          <w:p w14:paraId="4FE01583" w14:textId="77777777" w:rsidR="00C16D24" w:rsidRPr="00100E42" w:rsidRDefault="00C16D24" w:rsidP="001C3FEF">
            <w:pPr>
              <w:spacing w:after="0" w:line="240" w:lineRule="auto"/>
              <w:contextualSpacing/>
              <w:textboxTightWrap w:val="none"/>
            </w:pPr>
          </w:p>
          <w:p w14:paraId="62A62A83" w14:textId="77777777" w:rsidR="00C16D24" w:rsidRPr="00100E42" w:rsidRDefault="00C16D24" w:rsidP="001C3FEF">
            <w:pPr>
              <w:spacing w:after="0" w:line="240" w:lineRule="auto"/>
              <w:contextualSpacing/>
              <w:textboxTightWrap w:val="none"/>
            </w:pPr>
            <w:r w:rsidRPr="00100E42">
              <w:t xml:space="preserve">The strategic plan is to develop a robust financial strategy and capital plan that underpins the system strategy and leads to financial sustainability across BSW. </w:t>
            </w:r>
          </w:p>
          <w:p w14:paraId="1BB9E152" w14:textId="77777777" w:rsidR="00C16D24" w:rsidRPr="00100E42" w:rsidRDefault="00C16D24" w:rsidP="001C3FEF">
            <w:pPr>
              <w:spacing w:after="0" w:line="240" w:lineRule="auto"/>
              <w:contextualSpacing/>
              <w:textboxTightWrap w:val="none"/>
            </w:pPr>
          </w:p>
          <w:p w14:paraId="0C569FDF" w14:textId="75DCFDA5" w:rsidR="00C16D24" w:rsidRPr="00100E42" w:rsidRDefault="00C16D24" w:rsidP="001C3FEF">
            <w:pPr>
              <w:spacing w:after="0" w:line="240" w:lineRule="auto"/>
              <w:contextualSpacing/>
              <w:textboxTightWrap w:val="none"/>
            </w:pPr>
            <w:r w:rsidRPr="00100E42">
              <w:t>• The BSW capital plan for 2024/25 is funded from a combination of</w:t>
            </w:r>
            <w:r w:rsidR="00935120">
              <w:t xml:space="preserve"> </w:t>
            </w:r>
            <w:r w:rsidRPr="00100E42">
              <w:t>internally generated resources, approved national programmes, and regionally funded capital.</w:t>
            </w:r>
          </w:p>
          <w:p w14:paraId="723FEFDF" w14:textId="77777777" w:rsidR="00C16D24" w:rsidRPr="00100E42" w:rsidRDefault="00C16D24" w:rsidP="001C3FEF">
            <w:pPr>
              <w:spacing w:after="0" w:line="240" w:lineRule="auto"/>
              <w:contextualSpacing/>
              <w:textboxTightWrap w:val="none"/>
            </w:pPr>
          </w:p>
          <w:p w14:paraId="7FE4C05F" w14:textId="042D6586" w:rsidR="00101146" w:rsidRPr="00100E42" w:rsidRDefault="00C16D24" w:rsidP="00101146">
            <w:pPr>
              <w:spacing w:after="0" w:line="240" w:lineRule="auto"/>
              <w:contextualSpacing/>
              <w:textboxTightWrap w:val="none"/>
            </w:pPr>
            <w:r w:rsidRPr="00100E42">
              <w:t>The anticipated Capital Departmental Expenditure Limit (CDEL) allocation for the system is £105.9m, made up of</w:t>
            </w:r>
            <w:r w:rsidR="00101146" w:rsidRPr="00100E42">
              <w:t xml:space="preserve"> Operational Capital £</w:t>
            </w:r>
            <w:r w:rsidR="00101146">
              <w:t>45.7m</w:t>
            </w:r>
            <w:r w:rsidR="00101146" w:rsidRPr="00100E42">
              <w:t xml:space="preserve"> </w:t>
            </w:r>
            <w:r w:rsidR="00101146">
              <w:t>(</w:t>
            </w:r>
            <w:r w:rsidR="00101146" w:rsidRPr="005A47B8">
              <w:t xml:space="preserve">£37.12m </w:t>
            </w:r>
            <w:r w:rsidR="00101146" w:rsidRPr="00863F68">
              <w:t xml:space="preserve">Provider operational </w:t>
            </w:r>
            <w:r w:rsidR="00394ED7" w:rsidRPr="00863F68">
              <w:t>capital</w:t>
            </w:r>
            <w:r w:rsidR="00394ED7">
              <w:t>, ring</w:t>
            </w:r>
            <w:r w:rsidR="00101146">
              <w:t>-fenced £7.0m &amp; £</w:t>
            </w:r>
            <w:r w:rsidR="00101146" w:rsidRPr="00100E42">
              <w:t>1.5</w:t>
            </w:r>
            <w:r w:rsidR="004D5E28">
              <w:t>9</w:t>
            </w:r>
            <w:r w:rsidR="00101146" w:rsidRPr="00100E42">
              <w:t>m ICB/Primary Care)</w:t>
            </w:r>
            <w:r w:rsidR="00101146">
              <w:t>,</w:t>
            </w:r>
            <w:r w:rsidR="00101146" w:rsidRPr="00100E42">
              <w:t xml:space="preserve"> </w:t>
            </w:r>
            <w:r w:rsidR="00101146">
              <w:t>N</w:t>
            </w:r>
            <w:r w:rsidR="00101146" w:rsidRPr="00100E42">
              <w:t>ational programme</w:t>
            </w:r>
            <w:r w:rsidR="00101146">
              <w:t xml:space="preserve"> funds </w:t>
            </w:r>
            <w:r w:rsidR="00101146" w:rsidRPr="00100E42">
              <w:t>£45</w:t>
            </w:r>
            <w:r w:rsidR="00710EFD">
              <w:t>.14</w:t>
            </w:r>
            <w:r w:rsidR="00101146" w:rsidRPr="00100E42">
              <w:t>m</w:t>
            </w:r>
            <w:r w:rsidR="00101146">
              <w:t xml:space="preserve"> and IFRS 16/Technical accounting £15</w:t>
            </w:r>
            <w:r w:rsidR="00710EFD">
              <w:t>.06</w:t>
            </w:r>
            <w:r w:rsidR="00101146">
              <w:t>m)</w:t>
            </w:r>
            <w:r w:rsidR="00101146" w:rsidRPr="00100E42">
              <w:t>.</w:t>
            </w:r>
          </w:p>
          <w:p w14:paraId="349B2F41" w14:textId="6C1E6E88" w:rsidR="00C16D24" w:rsidRPr="00100E42" w:rsidRDefault="00C16D24" w:rsidP="001C3FEF">
            <w:pPr>
              <w:spacing w:after="0" w:line="240" w:lineRule="auto"/>
              <w:contextualSpacing/>
              <w:textboxTightWrap w:val="none"/>
            </w:pPr>
          </w:p>
          <w:p w14:paraId="407096D2" w14:textId="77777777" w:rsidR="00C16D24" w:rsidRPr="00100E42" w:rsidRDefault="00C16D24" w:rsidP="001C3FEF">
            <w:pPr>
              <w:spacing w:after="0" w:line="240" w:lineRule="auto"/>
              <w:contextualSpacing/>
              <w:textboxTightWrap w:val="none"/>
            </w:pPr>
            <w:r w:rsidRPr="00100E42">
              <w:t xml:space="preserve">• </w:t>
            </w:r>
            <w:r w:rsidRPr="00100E42">
              <w:rPr>
                <w:b/>
                <w:bCs/>
              </w:rPr>
              <w:t>National programme enabling schemes</w:t>
            </w:r>
            <w:r w:rsidRPr="00100E42">
              <w:t xml:space="preserve"> </w:t>
            </w:r>
          </w:p>
          <w:p w14:paraId="3A56D7B2" w14:textId="77777777" w:rsidR="00C16D24" w:rsidRPr="00100E42" w:rsidRDefault="00C16D24" w:rsidP="001C3FEF">
            <w:pPr>
              <w:spacing w:after="0" w:line="240" w:lineRule="auto"/>
              <w:contextualSpacing/>
              <w:textboxTightWrap w:val="none"/>
            </w:pPr>
          </w:p>
          <w:p w14:paraId="309DA699" w14:textId="047FF8D2" w:rsidR="00C16D24" w:rsidRPr="00100E42" w:rsidRDefault="00C16D24" w:rsidP="00100E42">
            <w:pPr>
              <w:pStyle w:val="ListParagraph"/>
              <w:numPr>
                <w:ilvl w:val="0"/>
                <w:numId w:val="27"/>
              </w:numPr>
              <w:spacing w:after="0" w:line="240" w:lineRule="auto"/>
              <w:contextualSpacing/>
              <w:textboxTightWrap w:val="none"/>
            </w:pPr>
            <w:r w:rsidRPr="00C16D24">
              <w:t xml:space="preserve">Elective Recovery </w:t>
            </w:r>
            <w:r w:rsidRPr="00100E42">
              <w:t>Sulis Elective Orthopaedic Centre (</w:t>
            </w:r>
            <w:r w:rsidR="00F86F26" w:rsidRPr="00100E42">
              <w:t xml:space="preserve">SEOC) </w:t>
            </w:r>
            <w:r w:rsidR="00F86F26" w:rsidRPr="00C16D24">
              <w:t>(</w:t>
            </w:r>
            <w:r w:rsidRPr="00C16D24">
              <w:t>£20.0m)</w:t>
            </w:r>
          </w:p>
          <w:p w14:paraId="2B0D1ABE" w14:textId="77777777" w:rsidR="00C16D24" w:rsidRPr="00C16D24" w:rsidRDefault="00C16D24" w:rsidP="00100E42">
            <w:pPr>
              <w:spacing w:after="0" w:line="240" w:lineRule="auto"/>
              <w:contextualSpacing/>
              <w:textboxTightWrap w:val="none"/>
            </w:pPr>
          </w:p>
          <w:p w14:paraId="6043E705" w14:textId="4B5FE7CF" w:rsidR="00E908F8" w:rsidRPr="00E908F8" w:rsidRDefault="00E908F8" w:rsidP="00E908F8">
            <w:pPr>
              <w:pStyle w:val="ListParagraph"/>
              <w:numPr>
                <w:ilvl w:val="0"/>
                <w:numId w:val="27"/>
              </w:numPr>
              <w:spacing w:after="0"/>
              <w:contextualSpacing/>
            </w:pPr>
            <w:r>
              <w:t>L</w:t>
            </w:r>
            <w:r w:rsidRPr="00E908F8">
              <w:t>DA Facility £20.5 m intra ICB facility to support people with Learning disability and or autism only who need in patient mental health support. BSW are lead commissioners on behalf of North of the Region.</w:t>
            </w:r>
            <w:r>
              <w:br/>
            </w:r>
          </w:p>
          <w:p w14:paraId="30C7B8BA" w14:textId="77777777" w:rsidR="00C16D24" w:rsidRPr="00C16D24" w:rsidRDefault="00C16D24" w:rsidP="00100E42">
            <w:pPr>
              <w:pStyle w:val="ListParagraph"/>
              <w:numPr>
                <w:ilvl w:val="0"/>
                <w:numId w:val="27"/>
              </w:numPr>
              <w:spacing w:after="0" w:line="240" w:lineRule="auto"/>
              <w:contextualSpacing/>
              <w:textboxTightWrap w:val="none"/>
            </w:pPr>
            <w:r w:rsidRPr="00C16D24">
              <w:t>Community Diagnostic Centre (£9.3m)</w:t>
            </w:r>
          </w:p>
          <w:p w14:paraId="790678E8" w14:textId="77777777" w:rsidR="00C16D24" w:rsidRPr="00100E42" w:rsidRDefault="00C16D24" w:rsidP="001C3FEF">
            <w:pPr>
              <w:spacing w:after="0" w:line="240" w:lineRule="auto"/>
              <w:contextualSpacing/>
              <w:textboxTightWrap w:val="none"/>
            </w:pPr>
          </w:p>
          <w:p w14:paraId="0859451C" w14:textId="4DFB92D6" w:rsidR="00C16D24" w:rsidRPr="00100E42" w:rsidRDefault="00C16D24" w:rsidP="00100E42">
            <w:pPr>
              <w:pStyle w:val="ListParagraph"/>
              <w:numPr>
                <w:ilvl w:val="0"/>
                <w:numId w:val="27"/>
              </w:numPr>
              <w:spacing w:after="0" w:line="240" w:lineRule="auto"/>
              <w:contextualSpacing/>
              <w:textboxTightWrap w:val="none"/>
            </w:pPr>
            <w:r w:rsidRPr="00C16D24">
              <w:t>Electronic Patient Record (EPR) (£</w:t>
            </w:r>
            <w:r w:rsidRPr="00100E42">
              <w:t>7.07</w:t>
            </w:r>
            <w:r w:rsidR="00935120">
              <w:t>m</w:t>
            </w:r>
            <w:r w:rsidRPr="00100E42">
              <w:t>)</w:t>
            </w:r>
            <w:r w:rsidRPr="00C16D24">
              <w:t xml:space="preserve"> </w:t>
            </w:r>
          </w:p>
          <w:p w14:paraId="63BCFB24" w14:textId="77777777" w:rsidR="00C16D24" w:rsidRPr="00C16D24" w:rsidRDefault="00C16D24" w:rsidP="00100E42">
            <w:pPr>
              <w:spacing w:after="0" w:line="240" w:lineRule="auto"/>
              <w:contextualSpacing/>
              <w:textboxTightWrap w:val="none"/>
            </w:pPr>
          </w:p>
          <w:p w14:paraId="63FB8837" w14:textId="77777777" w:rsidR="00C16D24" w:rsidRPr="00C16D24" w:rsidRDefault="00C16D24" w:rsidP="00100E42">
            <w:pPr>
              <w:pStyle w:val="ListParagraph"/>
              <w:numPr>
                <w:ilvl w:val="0"/>
                <w:numId w:val="27"/>
              </w:numPr>
              <w:spacing w:after="0" w:line="240" w:lineRule="auto"/>
              <w:contextualSpacing/>
              <w:textboxTightWrap w:val="none"/>
            </w:pPr>
            <w:r w:rsidRPr="00C16D24">
              <w:t>Digital Diagnostics (£1.</w:t>
            </w:r>
            <w:r w:rsidRPr="00100E42">
              <w:t>65</w:t>
            </w:r>
            <w:r w:rsidRPr="00C16D24">
              <w:t>m)</w:t>
            </w:r>
          </w:p>
          <w:p w14:paraId="43A594A6" w14:textId="77777777" w:rsidR="00C16D24" w:rsidRPr="00100E42" w:rsidRDefault="00C16D24" w:rsidP="001C3FEF">
            <w:pPr>
              <w:spacing w:after="0" w:line="240" w:lineRule="auto"/>
              <w:contextualSpacing/>
              <w:textboxTightWrap w:val="none"/>
            </w:pPr>
          </w:p>
          <w:p w14:paraId="42448902" w14:textId="77777777" w:rsidR="00C16D24" w:rsidRPr="00C16D24" w:rsidRDefault="00C16D24" w:rsidP="00100E42">
            <w:pPr>
              <w:pStyle w:val="ListParagraph"/>
              <w:numPr>
                <w:ilvl w:val="0"/>
                <w:numId w:val="27"/>
              </w:numPr>
              <w:spacing w:after="0" w:line="240" w:lineRule="auto"/>
              <w:contextualSpacing/>
              <w:textboxTightWrap w:val="none"/>
            </w:pPr>
            <w:r w:rsidRPr="00C16D24">
              <w:t>Mental Health transformation (as part of urgent and emergency care) (£0.3m).</w:t>
            </w:r>
          </w:p>
          <w:p w14:paraId="5A48F05C" w14:textId="77777777" w:rsidR="00C16D24" w:rsidRPr="00100E42" w:rsidRDefault="00C16D24" w:rsidP="001C3FEF">
            <w:pPr>
              <w:spacing w:after="0" w:line="240" w:lineRule="auto"/>
              <w:contextualSpacing/>
              <w:textboxTightWrap w:val="none"/>
            </w:pPr>
          </w:p>
          <w:p w14:paraId="3B39E312" w14:textId="7452E7CF" w:rsidR="00C16D24" w:rsidRPr="00C16D24" w:rsidRDefault="00C16D24" w:rsidP="00100E42">
            <w:pPr>
              <w:pStyle w:val="ListParagraph"/>
              <w:numPr>
                <w:ilvl w:val="0"/>
                <w:numId w:val="27"/>
              </w:numPr>
              <w:spacing w:after="0" w:line="240" w:lineRule="auto"/>
              <w:contextualSpacing/>
              <w:textboxTightWrap w:val="none"/>
            </w:pPr>
            <w:r w:rsidRPr="00C16D24">
              <w:t xml:space="preserve">STP upgrades programme £6.8m – </w:t>
            </w:r>
            <w:r w:rsidRPr="00100E42">
              <w:t>c</w:t>
            </w:r>
            <w:r w:rsidRPr="00C16D24">
              <w:t xml:space="preserve">omplete the new build emergency dept and </w:t>
            </w:r>
            <w:r w:rsidRPr="00100E42">
              <w:t>reconfiguration</w:t>
            </w:r>
            <w:r w:rsidRPr="00C16D24">
              <w:t xml:space="preserve"> to create a </w:t>
            </w:r>
            <w:r w:rsidRPr="00100E42">
              <w:t>children’s</w:t>
            </w:r>
            <w:r w:rsidRPr="00C16D24">
              <w:t xml:space="preserve"> emergency </w:t>
            </w:r>
            <w:r w:rsidR="00F86F26" w:rsidRPr="00C16D24">
              <w:t>unit</w:t>
            </w:r>
            <w:r w:rsidR="00C60709" w:rsidRPr="00C16D24">
              <w:t xml:space="preserve">. </w:t>
            </w:r>
          </w:p>
          <w:p w14:paraId="36C907BA" w14:textId="77777777" w:rsidR="00C16D24" w:rsidRPr="00100E42" w:rsidRDefault="00C16D24" w:rsidP="001C3FEF">
            <w:pPr>
              <w:spacing w:after="0" w:line="240" w:lineRule="auto"/>
              <w:contextualSpacing/>
              <w:textboxTightWrap w:val="none"/>
            </w:pPr>
          </w:p>
          <w:p w14:paraId="593A2A68" w14:textId="77777777" w:rsidR="00C16D24" w:rsidRPr="00C16D24" w:rsidRDefault="00C16D24" w:rsidP="00100E42">
            <w:pPr>
              <w:pStyle w:val="ListParagraph"/>
              <w:numPr>
                <w:ilvl w:val="0"/>
                <w:numId w:val="27"/>
              </w:numPr>
              <w:spacing w:after="0" w:line="240" w:lineRule="auto"/>
              <w:contextualSpacing/>
              <w:textboxTightWrap w:val="none"/>
            </w:pPr>
            <w:r w:rsidRPr="00100E42">
              <w:t>IFRS 16 &amp; t</w:t>
            </w:r>
            <w:r w:rsidRPr="00C16D24">
              <w:t>echnical funding of £1</w:t>
            </w:r>
            <w:r w:rsidRPr="00100E42">
              <w:t>5.06</w:t>
            </w:r>
            <w:r w:rsidRPr="00C16D24">
              <w:t>m (IFRS16 and PFI).</w:t>
            </w:r>
            <w:r>
              <w:t xml:space="preserve"> </w:t>
            </w:r>
            <w:r w:rsidRPr="00100E42">
              <w:t>Capitalisation of technical expenditure relating to IFRS16 is outside the system’s notified CDEL limit for planning and is assumed to be fully covered at a national level.</w:t>
            </w:r>
          </w:p>
          <w:p w14:paraId="4EA2B2EA" w14:textId="77777777" w:rsidR="00F5188D" w:rsidRPr="00F5188D" w:rsidRDefault="00F5188D" w:rsidP="001C3FEF">
            <w:pPr>
              <w:spacing w:after="0" w:line="240" w:lineRule="auto"/>
              <w:contextualSpacing/>
              <w:textboxTightWrap w:val="none"/>
              <w:rPr>
                <w:b/>
                <w:bCs/>
              </w:rPr>
            </w:pPr>
          </w:p>
          <w:p w14:paraId="27A49041" w14:textId="0167B322" w:rsidR="00F5188D" w:rsidRDefault="00F5188D" w:rsidP="00027244">
            <w:pPr>
              <w:pStyle w:val="ListParagraph"/>
              <w:numPr>
                <w:ilvl w:val="0"/>
                <w:numId w:val="27"/>
              </w:numPr>
              <w:spacing w:after="0" w:line="240" w:lineRule="auto"/>
              <w:contextualSpacing/>
              <w:textboxTightWrap w:val="none"/>
            </w:pPr>
            <w:r w:rsidRPr="00027244">
              <w:t>Section 106 / Community Infrastructure Levy (CIL)</w:t>
            </w:r>
            <w:r w:rsidR="00027244" w:rsidRPr="00027244">
              <w:t xml:space="preserve"> -</w:t>
            </w:r>
            <w:r w:rsidRPr="00F5188D">
              <w:t>Section 106</w:t>
            </w:r>
            <w:r w:rsidRPr="00027244">
              <w:t xml:space="preserve"> </w:t>
            </w:r>
            <w:r w:rsidRPr="00F5188D">
              <w:t xml:space="preserve">are legal agreements between local authorities and developers; these are linked to planning permissions and can also be known as planning obligations. There are many types of planning obligation but commonly they provide infrastructure or funds to deliver it. </w:t>
            </w:r>
            <w:r>
              <w:t xml:space="preserve"> The ICB is actively working with local authorities to secure Section 106 funding for significant housing growth to provide additional funding sources to support population growth created by new developments</w:t>
            </w:r>
            <w:r w:rsidR="00E908F8">
              <w:t xml:space="preserve"> and the needs of the population</w:t>
            </w:r>
            <w:r>
              <w:t xml:space="preserve">. </w:t>
            </w:r>
          </w:p>
          <w:p w14:paraId="5528EF7A" w14:textId="77777777" w:rsidR="00F5188D" w:rsidRPr="00F5188D" w:rsidRDefault="00F5188D" w:rsidP="00F5188D">
            <w:pPr>
              <w:spacing w:after="0" w:line="240" w:lineRule="auto"/>
              <w:contextualSpacing/>
              <w:textboxTightWrap w:val="none"/>
            </w:pPr>
          </w:p>
          <w:p w14:paraId="6F3ED864" w14:textId="55080207" w:rsidR="00F5188D" w:rsidRDefault="00F5188D" w:rsidP="00027244">
            <w:pPr>
              <w:pStyle w:val="ListParagraph"/>
              <w:numPr>
                <w:ilvl w:val="0"/>
                <w:numId w:val="27"/>
              </w:numPr>
              <w:spacing w:after="0" w:line="240" w:lineRule="auto"/>
              <w:contextualSpacing/>
              <w:textboxTightWrap w:val="none"/>
            </w:pPr>
            <w:r w:rsidRPr="00F5188D">
              <w:t xml:space="preserve">Community Infrastructure Levy </w:t>
            </w:r>
            <w:r>
              <w:t>i</w:t>
            </w:r>
            <w:r w:rsidRPr="00F5188D">
              <w:t>s</w:t>
            </w:r>
            <w:r>
              <w:t xml:space="preserve"> </w:t>
            </w:r>
            <w:r w:rsidRPr="00F5188D">
              <w:t>a planning charge that local authorities can exercise to help deliver infrastructure to support development within their area. The levy can be used to fund a wide range of infrastructure including transport, schools, health and social care facilities and green space. It is the local authority that decides upon what new infrastructure is needed and how the levy will be spent</w:t>
            </w:r>
            <w:r>
              <w:t xml:space="preserve"> and the ICB works with local authorities to understand the impact of housing growth in the area and submits proposals against this fund to support health infrastructure delivery</w:t>
            </w:r>
            <w:r w:rsidRPr="00F5188D">
              <w:t>. At least 15% must be on priorities agreed with the local community where the development is taking place.</w:t>
            </w:r>
          </w:p>
          <w:p w14:paraId="26C901C7" w14:textId="77777777" w:rsidR="00027244" w:rsidRDefault="00027244" w:rsidP="00F5188D">
            <w:pPr>
              <w:spacing w:after="0" w:line="240" w:lineRule="auto"/>
              <w:contextualSpacing/>
              <w:textboxTightWrap w:val="none"/>
            </w:pPr>
          </w:p>
          <w:p w14:paraId="75960568" w14:textId="66D41DAD" w:rsidR="00C16D24" w:rsidRPr="00CA1AA6" w:rsidRDefault="00027244" w:rsidP="00893B55">
            <w:pPr>
              <w:spacing w:after="0" w:line="240" w:lineRule="auto"/>
              <w:contextualSpacing/>
              <w:textboxTightWrap w:val="none"/>
              <w:rPr>
                <w:rFonts w:cs="Arial"/>
                <w:i/>
                <w:iCs/>
                <w:color w:val="auto"/>
                <w:sz w:val="22"/>
                <w:szCs w:val="22"/>
              </w:rPr>
            </w:pPr>
            <w:r w:rsidRPr="00100E42">
              <w:t xml:space="preserve">Annex B demonstrates that the Integrated Care Board (ICB) total capital departmental expenditure limit (CDEL) allocation is £105.9m (including national funding, IFRS 16 &amp; technical accounting adjustments). </w:t>
            </w:r>
          </w:p>
        </w:tc>
      </w:tr>
    </w:tbl>
    <w:p w14:paraId="56FAD468" w14:textId="77777777" w:rsidR="00641386" w:rsidRDefault="00641386" w:rsidP="00351976">
      <w:pPr>
        <w:rPr>
          <w:rFonts w:eastAsiaTheme="minorHAnsi" w:cs="Arial"/>
          <w:sz w:val="22"/>
          <w:szCs w:val="22"/>
          <w14:ligatures w14:val="standardContextual"/>
        </w:rPr>
      </w:pPr>
    </w:p>
    <w:tbl>
      <w:tblPr>
        <w:tblStyle w:val="TableGrid"/>
        <w:tblpPr w:leftFromText="180" w:rightFromText="180" w:vertAnchor="text" w:horzAnchor="margin" w:tblpYSpec="bottom"/>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86"/>
      </w:tblGrid>
      <w:tr w:rsidR="00641386" w:rsidRPr="00DE2C6E" w14:paraId="6450355B" w14:textId="77777777" w:rsidTr="00100E42">
        <w:trPr>
          <w:trHeight w:val="605"/>
        </w:trPr>
        <w:tc>
          <w:tcPr>
            <w:tcW w:w="5000" w:type="pct"/>
            <w:shd w:val="clear" w:color="auto" w:fill="0070C0"/>
            <w:vAlign w:val="center"/>
          </w:tcPr>
          <w:p w14:paraId="1FED0E74" w14:textId="77777777" w:rsidR="00641386" w:rsidRPr="00DE2C6E" w:rsidRDefault="00641386" w:rsidP="001C3FEF">
            <w:pPr>
              <w:rPr>
                <w:rFonts w:cs="Arial"/>
                <w:b/>
                <w:bCs/>
                <w:color w:val="000000" w:themeColor="text1"/>
              </w:rPr>
            </w:pPr>
            <w:r w:rsidRPr="00351976">
              <w:rPr>
                <w:rFonts w:cs="Arial"/>
                <w:b/>
                <w:bCs/>
                <w:color w:val="FFFFFF" w:themeColor="background1"/>
              </w:rPr>
              <w:lastRenderedPageBreak/>
              <w:t>Capital prioritisation</w:t>
            </w:r>
          </w:p>
        </w:tc>
      </w:tr>
      <w:tr w:rsidR="00641386" w:rsidRPr="00DE2C6E" w14:paraId="4847F7FE" w14:textId="77777777" w:rsidTr="00100E42">
        <w:trPr>
          <w:trHeight w:val="1654"/>
        </w:trPr>
        <w:tc>
          <w:tcPr>
            <w:tcW w:w="5000" w:type="pct"/>
            <w:shd w:val="clear" w:color="auto" w:fill="auto"/>
          </w:tcPr>
          <w:p w14:paraId="235D17D3" w14:textId="77777777" w:rsidR="00641386" w:rsidRDefault="00641386" w:rsidP="001C3FEF">
            <w:pPr>
              <w:spacing w:after="0" w:line="240" w:lineRule="auto"/>
              <w:contextualSpacing/>
              <w:textboxTightWrap w:val="none"/>
              <w:rPr>
                <w:rFonts w:cs="Arial"/>
                <w:color w:val="auto"/>
                <w:sz w:val="22"/>
                <w:szCs w:val="22"/>
              </w:rPr>
            </w:pPr>
          </w:p>
          <w:p w14:paraId="4567B585" w14:textId="01750F8F" w:rsidR="00641386" w:rsidRDefault="00641386" w:rsidP="001C3FEF">
            <w:pPr>
              <w:spacing w:after="0" w:line="240" w:lineRule="auto"/>
              <w:contextualSpacing/>
              <w:textboxTightWrap w:val="none"/>
              <w:rPr>
                <w:rFonts w:cs="Arial"/>
                <w:color w:val="auto"/>
                <w:sz w:val="22"/>
                <w:szCs w:val="22"/>
              </w:rPr>
            </w:pPr>
            <w:r w:rsidRPr="00B26804">
              <w:rPr>
                <w:rFonts w:cs="Arial"/>
                <w:color w:val="auto"/>
                <w:sz w:val="22"/>
                <w:szCs w:val="22"/>
              </w:rPr>
              <w:t>The ICB will ensure capital spending stays within budget. The ICB Board has</w:t>
            </w:r>
            <w:r>
              <w:rPr>
                <w:rFonts w:cs="Arial"/>
                <w:color w:val="auto"/>
                <w:sz w:val="22"/>
                <w:szCs w:val="22"/>
              </w:rPr>
              <w:t xml:space="preserve"> </w:t>
            </w:r>
            <w:r w:rsidRPr="00B26804">
              <w:rPr>
                <w:rFonts w:cs="Arial"/>
                <w:color w:val="auto"/>
                <w:sz w:val="22"/>
                <w:szCs w:val="22"/>
              </w:rPr>
              <w:t>overall responsibility for determining the strategy for capital investment, the prioritisation of</w:t>
            </w:r>
            <w:r>
              <w:rPr>
                <w:rFonts w:cs="Arial"/>
                <w:color w:val="auto"/>
                <w:sz w:val="22"/>
                <w:szCs w:val="22"/>
              </w:rPr>
              <w:t xml:space="preserve"> </w:t>
            </w:r>
            <w:r w:rsidRPr="00B26804">
              <w:rPr>
                <w:rFonts w:cs="Arial"/>
                <w:color w:val="auto"/>
                <w:sz w:val="22"/>
                <w:szCs w:val="22"/>
              </w:rPr>
              <w:t>elements within the joint forward plans (including capital programme), the resources allocated for</w:t>
            </w:r>
            <w:r>
              <w:rPr>
                <w:rFonts w:cs="Arial"/>
                <w:color w:val="auto"/>
                <w:sz w:val="22"/>
                <w:szCs w:val="22"/>
              </w:rPr>
              <w:t xml:space="preserve"> </w:t>
            </w:r>
            <w:r w:rsidRPr="00B26804">
              <w:rPr>
                <w:rFonts w:cs="Arial"/>
                <w:color w:val="auto"/>
                <w:sz w:val="22"/>
                <w:szCs w:val="22"/>
              </w:rPr>
              <w:t>capital investment in individual years and the overall composition of annual capital programmes.</w:t>
            </w:r>
          </w:p>
          <w:p w14:paraId="36AB8E2D" w14:textId="77777777" w:rsidR="00641386" w:rsidRPr="00B26804" w:rsidRDefault="00641386" w:rsidP="001C3FEF">
            <w:pPr>
              <w:spacing w:after="0" w:line="240" w:lineRule="auto"/>
              <w:contextualSpacing/>
              <w:textboxTightWrap w:val="none"/>
              <w:rPr>
                <w:rFonts w:cs="Arial"/>
                <w:color w:val="auto"/>
                <w:sz w:val="22"/>
                <w:szCs w:val="22"/>
              </w:rPr>
            </w:pPr>
          </w:p>
          <w:p w14:paraId="6E7A2C89" w14:textId="6D8B7CEE" w:rsidR="00641386" w:rsidRPr="00B26804" w:rsidRDefault="00641386" w:rsidP="001C3FEF">
            <w:pPr>
              <w:spacing w:after="0" w:line="240" w:lineRule="auto"/>
              <w:contextualSpacing/>
              <w:textboxTightWrap w:val="none"/>
              <w:rPr>
                <w:rFonts w:cs="Arial"/>
                <w:color w:val="auto"/>
                <w:sz w:val="22"/>
                <w:szCs w:val="22"/>
              </w:rPr>
            </w:pPr>
            <w:r w:rsidRPr="00B26804">
              <w:rPr>
                <w:rFonts w:cs="Arial"/>
                <w:color w:val="auto"/>
                <w:sz w:val="22"/>
                <w:szCs w:val="22"/>
              </w:rPr>
              <w:t>The ICB approach to capital funding includes greater clarity and confidence on the level of capital</w:t>
            </w:r>
            <w:r>
              <w:rPr>
                <w:rFonts w:cs="Arial"/>
                <w:color w:val="auto"/>
                <w:sz w:val="22"/>
                <w:szCs w:val="22"/>
              </w:rPr>
              <w:t xml:space="preserve"> </w:t>
            </w:r>
            <w:r w:rsidRPr="00B26804">
              <w:rPr>
                <w:rFonts w:cs="Arial"/>
                <w:color w:val="auto"/>
                <w:sz w:val="22"/>
                <w:szCs w:val="22"/>
              </w:rPr>
              <w:t xml:space="preserve">resource available. </w:t>
            </w:r>
            <w:r w:rsidR="00D72984">
              <w:rPr>
                <w:rFonts w:cs="Arial"/>
                <w:color w:val="auto"/>
                <w:sz w:val="22"/>
                <w:szCs w:val="22"/>
              </w:rPr>
              <w:t xml:space="preserve">We have developed a </w:t>
            </w:r>
            <w:proofErr w:type="gramStart"/>
            <w:r w:rsidR="00D72984">
              <w:rPr>
                <w:rFonts w:cs="Arial"/>
                <w:color w:val="auto"/>
                <w:sz w:val="22"/>
                <w:szCs w:val="22"/>
              </w:rPr>
              <w:t>joined up</w:t>
            </w:r>
            <w:proofErr w:type="gramEnd"/>
            <w:r w:rsidR="00D72984">
              <w:rPr>
                <w:rFonts w:cs="Arial"/>
                <w:color w:val="auto"/>
                <w:sz w:val="22"/>
                <w:szCs w:val="22"/>
              </w:rPr>
              <w:t xml:space="preserve"> partnership approach, to ensure s</w:t>
            </w:r>
            <w:r w:rsidRPr="00B26804">
              <w:rPr>
                <w:rFonts w:cs="Arial"/>
                <w:color w:val="auto"/>
                <w:sz w:val="22"/>
                <w:szCs w:val="22"/>
              </w:rPr>
              <w:t>upport for system working and capital priorities discussions and enabling</w:t>
            </w:r>
            <w:r>
              <w:rPr>
                <w:rFonts w:cs="Arial"/>
                <w:color w:val="auto"/>
                <w:sz w:val="22"/>
                <w:szCs w:val="22"/>
              </w:rPr>
              <w:t xml:space="preserve"> </w:t>
            </w:r>
            <w:r w:rsidRPr="00B26804">
              <w:rPr>
                <w:rFonts w:cs="Arial"/>
                <w:color w:val="auto"/>
                <w:sz w:val="22"/>
                <w:szCs w:val="22"/>
              </w:rPr>
              <w:t>faster access to national capital funding for critical safety issues.</w:t>
            </w:r>
          </w:p>
          <w:p w14:paraId="600B7BF4" w14:textId="77777777" w:rsidR="00641386" w:rsidRDefault="00641386" w:rsidP="001C3FEF">
            <w:pPr>
              <w:spacing w:after="0" w:line="240" w:lineRule="auto"/>
              <w:contextualSpacing/>
              <w:textboxTightWrap w:val="none"/>
              <w:rPr>
                <w:rFonts w:cs="Arial"/>
                <w:color w:val="auto"/>
                <w:sz w:val="22"/>
                <w:szCs w:val="22"/>
              </w:rPr>
            </w:pPr>
          </w:p>
          <w:p w14:paraId="46D6D1C4" w14:textId="4364313D" w:rsidR="00641386" w:rsidRDefault="00FC45ED" w:rsidP="001C3FEF">
            <w:pPr>
              <w:spacing w:after="0" w:line="240" w:lineRule="auto"/>
              <w:contextualSpacing/>
              <w:textboxTightWrap w:val="none"/>
              <w:rPr>
                <w:rFonts w:cs="Arial"/>
                <w:color w:val="auto"/>
                <w:sz w:val="22"/>
                <w:szCs w:val="22"/>
              </w:rPr>
            </w:pPr>
            <w:r>
              <w:rPr>
                <w:rFonts w:cs="Arial"/>
                <w:color w:val="auto"/>
                <w:sz w:val="22"/>
                <w:szCs w:val="22"/>
              </w:rPr>
              <w:t>The</w:t>
            </w:r>
            <w:r w:rsidR="00641386" w:rsidRPr="00A128ED">
              <w:rPr>
                <w:rFonts w:cs="Arial"/>
                <w:color w:val="auto"/>
                <w:sz w:val="22"/>
                <w:szCs w:val="22"/>
              </w:rPr>
              <w:t xml:space="preserve"> BSW Strategic Capital Planning group have developed a capital prioritisation </w:t>
            </w:r>
            <w:r w:rsidR="00641386">
              <w:rPr>
                <w:rFonts w:cs="Arial"/>
                <w:color w:val="auto"/>
                <w:sz w:val="22"/>
                <w:szCs w:val="22"/>
              </w:rPr>
              <w:t>matrix</w:t>
            </w:r>
            <w:r w:rsidR="00641386" w:rsidRPr="00A128ED">
              <w:rPr>
                <w:rFonts w:cs="Arial"/>
                <w:color w:val="auto"/>
                <w:sz w:val="22"/>
                <w:szCs w:val="22"/>
              </w:rPr>
              <w:t xml:space="preserve"> for the system. The </w:t>
            </w:r>
            <w:r w:rsidR="00641386">
              <w:rPr>
                <w:rFonts w:cs="Arial"/>
                <w:color w:val="auto"/>
                <w:sz w:val="22"/>
                <w:szCs w:val="22"/>
              </w:rPr>
              <w:t>matrix</w:t>
            </w:r>
            <w:r w:rsidR="00641386" w:rsidRPr="00A128ED">
              <w:rPr>
                <w:rFonts w:cs="Arial"/>
                <w:color w:val="auto"/>
                <w:sz w:val="22"/>
                <w:szCs w:val="22"/>
              </w:rPr>
              <w:t xml:space="preserve"> is based on clear principles guiding how we will collectively respond to national requests for funding. These include:</w:t>
            </w:r>
          </w:p>
          <w:p w14:paraId="3A3A3793" w14:textId="77777777" w:rsidR="00641386" w:rsidRPr="00A128ED" w:rsidRDefault="00641386" w:rsidP="001C3FEF">
            <w:pPr>
              <w:spacing w:after="0" w:line="240" w:lineRule="auto"/>
              <w:contextualSpacing/>
              <w:textboxTightWrap w:val="none"/>
              <w:rPr>
                <w:rFonts w:cs="Arial"/>
                <w:color w:val="auto"/>
                <w:sz w:val="22"/>
                <w:szCs w:val="22"/>
              </w:rPr>
            </w:pPr>
          </w:p>
          <w:p w14:paraId="6672E767"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Serves patient need &amp; population health in line with our BSW Together Integrated Care strategy.</w:t>
            </w:r>
          </w:p>
          <w:p w14:paraId="612454ED"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System orientation rather than a focus on individual organisations.</w:t>
            </w:r>
          </w:p>
          <w:p w14:paraId="49DAE143"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Whole integrated care system approach (includes Primary Care/Community/Mental Health/Acute).</w:t>
            </w:r>
          </w:p>
          <w:p w14:paraId="6D00A705"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Prioritisation and viability assessment undertaken for all proposed capital schemes.</w:t>
            </w:r>
          </w:p>
          <w:p w14:paraId="4D14694B"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Alignment with local need, system strategies and national priorities.</w:t>
            </w:r>
          </w:p>
          <w:p w14:paraId="23185377"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Proportionate processes / governance aligned with scale of capital scheme / spend.</w:t>
            </w:r>
          </w:p>
          <w:p w14:paraId="7746C150"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Maximise our ability to secure additional capital investment.</w:t>
            </w:r>
          </w:p>
          <w:p w14:paraId="70730608" w14:textId="77777777" w:rsidR="00641386" w:rsidRPr="00A128ED" w:rsidRDefault="00641386" w:rsidP="001C3FEF">
            <w:pPr>
              <w:numPr>
                <w:ilvl w:val="0"/>
                <w:numId w:val="14"/>
              </w:numPr>
              <w:spacing w:after="0" w:line="240" w:lineRule="auto"/>
              <w:contextualSpacing/>
              <w:textboxTightWrap w:val="none"/>
              <w:rPr>
                <w:rFonts w:cs="Arial"/>
                <w:color w:val="auto"/>
                <w:sz w:val="22"/>
                <w:szCs w:val="22"/>
              </w:rPr>
            </w:pPr>
            <w:r w:rsidRPr="00A128ED">
              <w:rPr>
                <w:rFonts w:cs="Arial"/>
                <w:color w:val="auto"/>
                <w:sz w:val="22"/>
                <w:szCs w:val="22"/>
              </w:rPr>
              <w:t>Implement a fair, transparent and equitable process.</w:t>
            </w:r>
          </w:p>
          <w:p w14:paraId="07BB575F" w14:textId="77777777" w:rsidR="00641386" w:rsidRDefault="00641386" w:rsidP="001C3FEF">
            <w:pPr>
              <w:spacing w:after="0" w:line="240" w:lineRule="auto"/>
              <w:contextualSpacing/>
              <w:textboxTightWrap w:val="none"/>
              <w:rPr>
                <w:rFonts w:cs="Arial"/>
                <w:color w:val="auto"/>
                <w:sz w:val="22"/>
                <w:szCs w:val="22"/>
              </w:rPr>
            </w:pPr>
          </w:p>
          <w:p w14:paraId="391391BB" w14:textId="77777777" w:rsidR="00641386" w:rsidRDefault="00641386" w:rsidP="001C3FEF">
            <w:pPr>
              <w:spacing w:after="0" w:line="240" w:lineRule="auto"/>
              <w:contextualSpacing/>
              <w:textboxTightWrap w:val="none"/>
              <w:rPr>
                <w:rFonts w:cs="Arial"/>
                <w:color w:val="auto"/>
                <w:sz w:val="22"/>
                <w:szCs w:val="22"/>
              </w:rPr>
            </w:pPr>
            <w:r w:rsidRPr="00A128ED">
              <w:rPr>
                <w:rFonts w:cs="Arial"/>
                <w:color w:val="auto"/>
                <w:sz w:val="22"/>
                <w:szCs w:val="22"/>
              </w:rPr>
              <w:t xml:space="preserve">The prioritisation </w:t>
            </w:r>
            <w:r>
              <w:rPr>
                <w:rFonts w:cs="Arial"/>
                <w:color w:val="auto"/>
                <w:sz w:val="22"/>
                <w:szCs w:val="22"/>
              </w:rPr>
              <w:t xml:space="preserve">matrix </w:t>
            </w:r>
            <w:r w:rsidRPr="00A128ED">
              <w:rPr>
                <w:rFonts w:cs="Arial"/>
                <w:color w:val="auto"/>
                <w:sz w:val="22"/>
                <w:szCs w:val="22"/>
              </w:rPr>
              <w:t>will 'band' investments into three levels to provide a proportionate level of process and governance. </w:t>
            </w:r>
          </w:p>
          <w:p w14:paraId="3ECA91F1" w14:textId="77777777" w:rsidR="00641386" w:rsidRPr="00A128ED" w:rsidRDefault="00641386" w:rsidP="001C3FEF">
            <w:pPr>
              <w:spacing w:after="0" w:line="240" w:lineRule="auto"/>
              <w:contextualSpacing/>
              <w:textboxTightWrap w:val="none"/>
              <w:rPr>
                <w:rFonts w:cs="Arial"/>
                <w:color w:val="auto"/>
                <w:sz w:val="22"/>
                <w:szCs w:val="22"/>
              </w:rPr>
            </w:pPr>
          </w:p>
          <w:p w14:paraId="7C4DB0AD" w14:textId="77777777" w:rsidR="00641386" w:rsidRPr="00A128ED" w:rsidRDefault="00641386" w:rsidP="001C3FEF">
            <w:pPr>
              <w:spacing w:after="0" w:line="240" w:lineRule="auto"/>
              <w:contextualSpacing/>
              <w:textboxTightWrap w:val="none"/>
              <w:rPr>
                <w:rFonts w:cs="Arial"/>
                <w:color w:val="auto"/>
                <w:sz w:val="22"/>
                <w:szCs w:val="22"/>
              </w:rPr>
            </w:pPr>
            <w:r w:rsidRPr="00A128ED">
              <w:rPr>
                <w:rFonts w:cs="Arial"/>
                <w:b/>
                <w:bCs/>
                <w:color w:val="auto"/>
                <w:sz w:val="22"/>
                <w:szCs w:val="22"/>
              </w:rPr>
              <w:t>Band 1 – Major Capital Projects</w:t>
            </w:r>
          </w:p>
          <w:p w14:paraId="4B7FCCCA" w14:textId="77777777" w:rsidR="00641386" w:rsidRDefault="00641386" w:rsidP="001C3FEF">
            <w:pPr>
              <w:spacing w:after="0" w:line="240" w:lineRule="auto"/>
              <w:contextualSpacing/>
              <w:textboxTightWrap w:val="none"/>
              <w:rPr>
                <w:rFonts w:cs="Arial"/>
                <w:color w:val="auto"/>
                <w:sz w:val="22"/>
                <w:szCs w:val="22"/>
              </w:rPr>
            </w:pPr>
            <w:r w:rsidRPr="00A128ED">
              <w:rPr>
                <w:rFonts w:cs="Arial"/>
                <w:color w:val="auto"/>
                <w:sz w:val="22"/>
                <w:szCs w:val="22"/>
              </w:rPr>
              <w:t>Focus on the preparation of large schemes to attract national funding, or commercial partner investment. This will facilitate targeted and informed engagement with NHS England and commercial partners to secure funding.</w:t>
            </w:r>
          </w:p>
          <w:p w14:paraId="00E0499D" w14:textId="77777777" w:rsidR="00641386" w:rsidRPr="00A128ED" w:rsidRDefault="00641386" w:rsidP="001C3FEF">
            <w:pPr>
              <w:spacing w:after="0" w:line="240" w:lineRule="auto"/>
              <w:contextualSpacing/>
              <w:textboxTightWrap w:val="none"/>
              <w:rPr>
                <w:rFonts w:cs="Arial"/>
                <w:color w:val="auto"/>
                <w:sz w:val="22"/>
                <w:szCs w:val="22"/>
              </w:rPr>
            </w:pPr>
          </w:p>
          <w:p w14:paraId="3774B28D" w14:textId="77777777" w:rsidR="00641386" w:rsidRPr="00A128ED" w:rsidRDefault="00641386" w:rsidP="001C3FEF">
            <w:pPr>
              <w:spacing w:after="0" w:line="240" w:lineRule="auto"/>
              <w:contextualSpacing/>
              <w:textboxTightWrap w:val="none"/>
              <w:rPr>
                <w:rFonts w:cs="Arial"/>
                <w:color w:val="auto"/>
                <w:sz w:val="22"/>
                <w:szCs w:val="22"/>
              </w:rPr>
            </w:pPr>
            <w:r w:rsidRPr="00A128ED">
              <w:rPr>
                <w:rFonts w:cs="Arial"/>
                <w:b/>
                <w:bCs/>
                <w:color w:val="auto"/>
                <w:sz w:val="22"/>
                <w:szCs w:val="22"/>
              </w:rPr>
              <w:t>Band 2 – ICS funded Small Capital Projects</w:t>
            </w:r>
          </w:p>
          <w:p w14:paraId="12F28CA4" w14:textId="77777777" w:rsidR="00641386" w:rsidRDefault="00641386" w:rsidP="001C3FEF">
            <w:pPr>
              <w:spacing w:after="0" w:line="240" w:lineRule="auto"/>
              <w:contextualSpacing/>
              <w:textboxTightWrap w:val="none"/>
              <w:rPr>
                <w:rFonts w:cs="Arial"/>
                <w:color w:val="auto"/>
                <w:sz w:val="22"/>
                <w:szCs w:val="22"/>
              </w:rPr>
            </w:pPr>
            <w:r w:rsidRPr="00A128ED">
              <w:rPr>
                <w:rFonts w:cs="Arial"/>
                <w:color w:val="auto"/>
                <w:sz w:val="22"/>
                <w:szCs w:val="22"/>
              </w:rPr>
              <w:t>Focus on systemwide priorities (e.g. backlog maintenance) and prioritise expenditure against critical / priority projects across the ICS. Proposed schemes will be developed and led locally by partner organisations.</w:t>
            </w:r>
          </w:p>
          <w:p w14:paraId="7E0A1E1B" w14:textId="77777777" w:rsidR="00641386" w:rsidRPr="00A128ED" w:rsidRDefault="00641386" w:rsidP="001C3FEF">
            <w:pPr>
              <w:spacing w:after="0" w:line="240" w:lineRule="auto"/>
              <w:contextualSpacing/>
              <w:textboxTightWrap w:val="none"/>
              <w:rPr>
                <w:rFonts w:cs="Arial"/>
                <w:color w:val="auto"/>
                <w:sz w:val="22"/>
                <w:szCs w:val="22"/>
              </w:rPr>
            </w:pPr>
          </w:p>
          <w:p w14:paraId="6531EA4B" w14:textId="77777777" w:rsidR="00641386" w:rsidRPr="00A128ED" w:rsidRDefault="00641386" w:rsidP="001C3FEF">
            <w:pPr>
              <w:spacing w:after="0" w:line="240" w:lineRule="auto"/>
              <w:contextualSpacing/>
              <w:textboxTightWrap w:val="none"/>
              <w:rPr>
                <w:rFonts w:cs="Arial"/>
                <w:color w:val="auto"/>
                <w:sz w:val="22"/>
                <w:szCs w:val="22"/>
              </w:rPr>
            </w:pPr>
            <w:r w:rsidRPr="00A128ED">
              <w:rPr>
                <w:rFonts w:cs="Arial"/>
                <w:b/>
                <w:bCs/>
                <w:color w:val="auto"/>
                <w:sz w:val="22"/>
                <w:szCs w:val="22"/>
              </w:rPr>
              <w:t>Band 3 – Local Minor Capital Expenditure</w:t>
            </w:r>
          </w:p>
          <w:p w14:paraId="46F61C15" w14:textId="77777777" w:rsidR="00641386" w:rsidRPr="00A128ED" w:rsidRDefault="00641386" w:rsidP="001C3FEF">
            <w:pPr>
              <w:spacing w:after="0" w:line="240" w:lineRule="auto"/>
              <w:contextualSpacing/>
              <w:textboxTightWrap w:val="none"/>
              <w:rPr>
                <w:rFonts w:cs="Arial"/>
                <w:color w:val="auto"/>
                <w:sz w:val="22"/>
                <w:szCs w:val="22"/>
              </w:rPr>
            </w:pPr>
            <w:r w:rsidRPr="00A128ED">
              <w:rPr>
                <w:rFonts w:cs="Arial"/>
                <w:color w:val="auto"/>
                <w:sz w:val="22"/>
                <w:szCs w:val="22"/>
              </w:rPr>
              <w:t>Focus on providing system context for local prioritisation. Local decision making will remain with those best placed to decide upon local deployment of capital.</w:t>
            </w:r>
          </w:p>
          <w:p w14:paraId="6AA02D7D" w14:textId="77777777" w:rsidR="00641386" w:rsidRDefault="00641386" w:rsidP="001C3FEF">
            <w:pPr>
              <w:spacing w:after="0" w:line="240" w:lineRule="auto"/>
              <w:contextualSpacing/>
              <w:textboxTightWrap w:val="none"/>
              <w:rPr>
                <w:rFonts w:cs="Arial"/>
                <w:color w:val="auto"/>
                <w:sz w:val="22"/>
                <w:szCs w:val="22"/>
              </w:rPr>
            </w:pPr>
          </w:p>
          <w:p w14:paraId="1DFE08C7" w14:textId="3ADB6F27" w:rsidR="00641386" w:rsidRPr="00A128ED" w:rsidRDefault="00641386" w:rsidP="001C3FEF">
            <w:pPr>
              <w:spacing w:after="0" w:line="240" w:lineRule="auto"/>
              <w:contextualSpacing/>
              <w:textboxTightWrap w:val="none"/>
              <w:rPr>
                <w:rFonts w:cs="Arial"/>
                <w:color w:val="auto"/>
                <w:sz w:val="22"/>
                <w:szCs w:val="22"/>
              </w:rPr>
            </w:pPr>
            <w:r w:rsidRPr="00A128ED">
              <w:rPr>
                <w:rFonts w:cs="Arial"/>
                <w:color w:val="auto"/>
                <w:sz w:val="22"/>
                <w:szCs w:val="22"/>
              </w:rPr>
              <w:lastRenderedPageBreak/>
              <w:t xml:space="preserve">The </w:t>
            </w:r>
            <w:r w:rsidR="00465DFC">
              <w:rPr>
                <w:rFonts w:cs="Arial"/>
                <w:color w:val="auto"/>
                <w:sz w:val="22"/>
                <w:szCs w:val="22"/>
              </w:rPr>
              <w:t>r</w:t>
            </w:r>
            <w:r w:rsidRPr="00A128ED">
              <w:rPr>
                <w:rFonts w:cs="Arial"/>
                <w:color w:val="auto"/>
                <w:sz w:val="22"/>
                <w:szCs w:val="22"/>
              </w:rPr>
              <w:t xml:space="preserve">ationale for taking this approach is to ensure we implement a clear process for prioritising capital expenditure, which will </w:t>
            </w:r>
            <w:r>
              <w:rPr>
                <w:rFonts w:cs="Arial"/>
                <w:color w:val="auto"/>
                <w:sz w:val="22"/>
                <w:szCs w:val="22"/>
              </w:rPr>
              <w:t>support</w:t>
            </w:r>
            <w:r w:rsidRPr="00A128ED">
              <w:rPr>
                <w:rFonts w:cs="Arial"/>
                <w:color w:val="auto"/>
                <w:sz w:val="22"/>
                <w:szCs w:val="22"/>
              </w:rPr>
              <w:t xml:space="preserve"> collective understanding amongst our partners but also the flexibility to progress decision making at appropriate levels. The implementation of this </w:t>
            </w:r>
            <w:r>
              <w:rPr>
                <w:rFonts w:cs="Arial"/>
                <w:color w:val="auto"/>
                <w:sz w:val="22"/>
                <w:szCs w:val="22"/>
              </w:rPr>
              <w:t>matrix</w:t>
            </w:r>
            <w:r w:rsidRPr="00A128ED">
              <w:rPr>
                <w:rFonts w:cs="Arial"/>
                <w:color w:val="auto"/>
                <w:sz w:val="22"/>
                <w:szCs w:val="22"/>
              </w:rPr>
              <w:t xml:space="preserve"> marks a significant step in our system working to ensure we make informed decisions over the coming decade.</w:t>
            </w:r>
          </w:p>
          <w:p w14:paraId="35A37124" w14:textId="77777777" w:rsidR="00641386" w:rsidRDefault="00641386" w:rsidP="001C3FEF">
            <w:pPr>
              <w:spacing w:after="0" w:line="240" w:lineRule="auto"/>
              <w:contextualSpacing/>
              <w:textboxTightWrap w:val="none"/>
              <w:rPr>
                <w:rFonts w:cs="Arial"/>
                <w:color w:val="auto"/>
                <w:sz w:val="22"/>
                <w:szCs w:val="22"/>
              </w:rPr>
            </w:pPr>
          </w:p>
          <w:p w14:paraId="5A384A6B" w14:textId="77777777" w:rsidR="00641386" w:rsidRDefault="00641386" w:rsidP="001C3FEF">
            <w:pPr>
              <w:spacing w:after="0" w:line="240" w:lineRule="auto"/>
              <w:contextualSpacing/>
              <w:textboxTightWrap w:val="none"/>
              <w:rPr>
                <w:rFonts w:cs="Arial"/>
                <w:color w:val="auto"/>
                <w:sz w:val="22"/>
                <w:szCs w:val="22"/>
              </w:rPr>
            </w:pPr>
            <w:r>
              <w:rPr>
                <w:rFonts w:cs="Arial"/>
                <w:color w:val="auto"/>
                <w:sz w:val="22"/>
                <w:szCs w:val="22"/>
              </w:rPr>
              <w:t>The next steps for the matrix include:</w:t>
            </w:r>
          </w:p>
          <w:p w14:paraId="3C8BCAA1" w14:textId="77777777" w:rsidR="00641386" w:rsidRPr="00100E42" w:rsidRDefault="00641386" w:rsidP="001C3FEF">
            <w:pPr>
              <w:pStyle w:val="ListParagraph"/>
              <w:numPr>
                <w:ilvl w:val="0"/>
                <w:numId w:val="9"/>
              </w:numPr>
              <w:spacing w:after="0" w:line="240" w:lineRule="auto"/>
              <w:contextualSpacing/>
              <w:textboxTightWrap w:val="none"/>
              <w:rPr>
                <w:rFonts w:cs="Arial"/>
                <w:color w:val="auto"/>
                <w:sz w:val="22"/>
                <w:szCs w:val="22"/>
              </w:rPr>
            </w:pPr>
            <w:r w:rsidRPr="00100E42">
              <w:rPr>
                <w:rFonts w:cs="Arial"/>
                <w:color w:val="auto"/>
                <w:sz w:val="22"/>
                <w:szCs w:val="22"/>
              </w:rPr>
              <w:t xml:space="preserve">Working group set up across system wide partners (including primary care and digital representatives) to review matrix and ensure alignment across all services. </w:t>
            </w:r>
          </w:p>
          <w:p w14:paraId="51AD2729" w14:textId="0F440130" w:rsidR="00394ED7" w:rsidRDefault="00641386" w:rsidP="001C3FEF">
            <w:pPr>
              <w:pStyle w:val="ListParagraph"/>
              <w:numPr>
                <w:ilvl w:val="0"/>
                <w:numId w:val="9"/>
              </w:numPr>
              <w:spacing w:after="0" w:line="240" w:lineRule="auto"/>
              <w:contextualSpacing/>
              <w:textboxTightWrap w:val="none"/>
              <w:rPr>
                <w:rFonts w:cs="Arial"/>
                <w:color w:val="auto"/>
                <w:sz w:val="22"/>
                <w:szCs w:val="22"/>
              </w:rPr>
            </w:pPr>
            <w:r w:rsidRPr="00100E42">
              <w:rPr>
                <w:rFonts w:cs="Arial"/>
                <w:color w:val="auto"/>
                <w:sz w:val="22"/>
                <w:szCs w:val="22"/>
              </w:rPr>
              <w:t xml:space="preserve">Adapt the weightings of 5 </w:t>
            </w:r>
            <w:r w:rsidR="00101146">
              <w:rPr>
                <w:rFonts w:cs="Arial"/>
                <w:color w:val="auto"/>
                <w:sz w:val="22"/>
                <w:szCs w:val="22"/>
              </w:rPr>
              <w:t xml:space="preserve">localised </w:t>
            </w:r>
            <w:r w:rsidRPr="00100E42">
              <w:rPr>
                <w:rFonts w:cs="Arial"/>
                <w:color w:val="auto"/>
                <w:sz w:val="22"/>
                <w:szCs w:val="22"/>
              </w:rPr>
              <w:t xml:space="preserve">criteria themes </w:t>
            </w:r>
            <w:proofErr w:type="gramStart"/>
            <w:r w:rsidR="00394ED7">
              <w:rPr>
                <w:rFonts w:cs="Arial"/>
                <w:color w:val="auto"/>
                <w:sz w:val="22"/>
                <w:szCs w:val="22"/>
              </w:rPr>
              <w:t>( above</w:t>
            </w:r>
            <w:proofErr w:type="gramEnd"/>
            <w:r w:rsidR="00394ED7">
              <w:rPr>
                <w:rFonts w:cs="Arial"/>
                <w:color w:val="auto"/>
                <w:sz w:val="22"/>
                <w:szCs w:val="22"/>
              </w:rPr>
              <w:t xml:space="preserve">) </w:t>
            </w:r>
          </w:p>
          <w:p w14:paraId="69510B22" w14:textId="3EEE55FF" w:rsidR="00641386" w:rsidRPr="00100E42" w:rsidRDefault="00394ED7" w:rsidP="001C3FEF">
            <w:pPr>
              <w:pStyle w:val="ListParagraph"/>
              <w:numPr>
                <w:ilvl w:val="0"/>
                <w:numId w:val="9"/>
              </w:numPr>
              <w:spacing w:after="0" w:line="240" w:lineRule="auto"/>
              <w:contextualSpacing/>
              <w:textboxTightWrap w:val="none"/>
              <w:rPr>
                <w:rFonts w:cs="Arial"/>
                <w:color w:val="auto"/>
                <w:sz w:val="22"/>
                <w:szCs w:val="22"/>
              </w:rPr>
            </w:pPr>
            <w:r w:rsidRPr="00394ED7">
              <w:rPr>
                <w:rFonts w:cs="Arial"/>
                <w:color w:val="auto"/>
                <w:sz w:val="22"/>
                <w:szCs w:val="22"/>
              </w:rPr>
              <w:t>Deliverability</w:t>
            </w:r>
            <w:r>
              <w:rPr>
                <w:rFonts w:cs="Arial"/>
                <w:color w:val="auto"/>
                <w:sz w:val="22"/>
                <w:szCs w:val="22"/>
              </w:rPr>
              <w:t xml:space="preserve"> </w:t>
            </w:r>
            <w:r w:rsidRPr="00100E42">
              <w:rPr>
                <w:rFonts w:cs="Arial"/>
                <w:color w:val="auto"/>
                <w:sz w:val="22"/>
                <w:szCs w:val="22"/>
              </w:rPr>
              <w:t>matrix</w:t>
            </w:r>
            <w:r w:rsidR="00641386" w:rsidRPr="00100E42">
              <w:rPr>
                <w:rFonts w:cs="Arial"/>
                <w:color w:val="auto"/>
                <w:sz w:val="22"/>
                <w:szCs w:val="22"/>
              </w:rPr>
              <w:t xml:space="preserve"> to reflect the same as primary care network themes. </w:t>
            </w:r>
          </w:p>
          <w:p w14:paraId="6525032C" w14:textId="50941CBA" w:rsidR="00641386" w:rsidRPr="000A52E6" w:rsidRDefault="00641386" w:rsidP="001C3FEF">
            <w:pPr>
              <w:pStyle w:val="ListParagraph"/>
              <w:numPr>
                <w:ilvl w:val="0"/>
                <w:numId w:val="9"/>
              </w:numPr>
              <w:spacing w:after="0" w:line="240" w:lineRule="auto"/>
              <w:contextualSpacing/>
              <w:textboxTightWrap w:val="none"/>
              <w:rPr>
                <w:rFonts w:cs="Arial"/>
                <w:color w:val="1F4E79" w:themeColor="accent5" w:themeShade="80"/>
                <w:sz w:val="22"/>
                <w:szCs w:val="22"/>
              </w:rPr>
            </w:pPr>
            <w:r w:rsidRPr="00100E42">
              <w:rPr>
                <w:rFonts w:cs="Arial"/>
                <w:color w:val="auto"/>
                <w:sz w:val="22"/>
                <w:szCs w:val="22"/>
              </w:rPr>
              <w:t>Expand risk mitigation criteria so that it takes operational delivery focus and includes quality, safety, legal and regulatory criteria are robustly reflected</w:t>
            </w:r>
            <w:r w:rsidR="002D324A" w:rsidRPr="000A52E6">
              <w:rPr>
                <w:rFonts w:cs="Arial"/>
                <w:color w:val="1F4E79" w:themeColor="accent5" w:themeShade="80"/>
                <w:sz w:val="22"/>
                <w:szCs w:val="22"/>
              </w:rPr>
              <w:t xml:space="preserve">. </w:t>
            </w:r>
          </w:p>
          <w:p w14:paraId="57F7976F" w14:textId="77777777" w:rsidR="00641386" w:rsidRPr="000A52E6" w:rsidRDefault="00641386" w:rsidP="001C3FEF">
            <w:pPr>
              <w:spacing w:after="0" w:line="240" w:lineRule="auto"/>
              <w:contextualSpacing/>
              <w:textboxTightWrap w:val="none"/>
              <w:rPr>
                <w:rFonts w:cs="Arial"/>
                <w:color w:val="1F4E79" w:themeColor="accent5" w:themeShade="80"/>
                <w:sz w:val="22"/>
                <w:szCs w:val="22"/>
              </w:rPr>
            </w:pPr>
          </w:p>
          <w:p w14:paraId="50795F1B" w14:textId="77777777" w:rsidR="00641386" w:rsidRPr="000A52E6" w:rsidRDefault="00641386" w:rsidP="001C3FEF">
            <w:pPr>
              <w:spacing w:after="0" w:line="240" w:lineRule="auto"/>
              <w:contextualSpacing/>
              <w:textboxTightWrap w:val="none"/>
              <w:rPr>
                <w:rFonts w:cs="Arial"/>
                <w:color w:val="1F4E79" w:themeColor="accent5" w:themeShade="80"/>
                <w:sz w:val="22"/>
                <w:szCs w:val="22"/>
              </w:rPr>
            </w:pPr>
          </w:p>
          <w:p w14:paraId="5B426A38" w14:textId="77777777" w:rsidR="00641386" w:rsidRPr="001175B2" w:rsidRDefault="00641386" w:rsidP="001C3FEF">
            <w:pPr>
              <w:spacing w:after="0" w:line="240" w:lineRule="auto"/>
              <w:contextualSpacing/>
              <w:textboxTightWrap w:val="none"/>
              <w:rPr>
                <w:rFonts w:cs="Arial"/>
                <w:color w:val="auto"/>
                <w:sz w:val="22"/>
                <w:szCs w:val="22"/>
              </w:rPr>
            </w:pPr>
            <w:r w:rsidRPr="001175B2">
              <w:rPr>
                <w:rFonts w:cs="Arial"/>
                <w:color w:val="auto"/>
                <w:sz w:val="22"/>
                <w:szCs w:val="22"/>
              </w:rPr>
              <w:t xml:space="preserve">The system recognises the need to develop our Capital Strategy, aligning this to the BSW Integrated Care Strategy to develop a comprehensive Capital Infrastructure Plan which identifies the medium-term requirements for NHS Capital. </w:t>
            </w:r>
          </w:p>
          <w:p w14:paraId="1DF1D743" w14:textId="77777777" w:rsidR="00641386" w:rsidRPr="001175B2" w:rsidRDefault="00641386" w:rsidP="001C3FEF">
            <w:pPr>
              <w:spacing w:after="0" w:line="240" w:lineRule="auto"/>
              <w:contextualSpacing/>
              <w:textboxTightWrap w:val="none"/>
              <w:rPr>
                <w:rFonts w:cs="Arial"/>
                <w:color w:val="auto"/>
                <w:sz w:val="22"/>
                <w:szCs w:val="22"/>
              </w:rPr>
            </w:pPr>
            <w:r w:rsidRPr="001175B2">
              <w:rPr>
                <w:rFonts w:cs="Arial"/>
                <w:color w:val="auto"/>
                <w:sz w:val="22"/>
                <w:szCs w:val="22"/>
              </w:rPr>
              <w:t>BSW has set up a Strategic Capital Planning group including wider members from partner NHS Trusts. As a collaborative we are working through developing a framework for Capital investment and priorities to support the integrated Care strategy for the system. Estates and digital are seen as key enablers to our Integrated Care Strategy.</w:t>
            </w:r>
          </w:p>
          <w:p w14:paraId="61DBF4E9" w14:textId="77777777" w:rsidR="00641386" w:rsidRPr="001175B2" w:rsidRDefault="00641386" w:rsidP="001C3FEF">
            <w:pPr>
              <w:spacing w:after="0" w:line="240" w:lineRule="auto"/>
              <w:contextualSpacing/>
              <w:textboxTightWrap w:val="none"/>
              <w:rPr>
                <w:rFonts w:cs="Arial"/>
                <w:color w:val="auto"/>
                <w:sz w:val="22"/>
                <w:szCs w:val="22"/>
              </w:rPr>
            </w:pPr>
          </w:p>
          <w:p w14:paraId="4E4F8B1A" w14:textId="5865DD05" w:rsidR="00641386" w:rsidRPr="001175B2" w:rsidRDefault="00641386" w:rsidP="001C3FEF">
            <w:pPr>
              <w:spacing w:after="0" w:line="240" w:lineRule="auto"/>
              <w:contextualSpacing/>
              <w:textboxTightWrap w:val="none"/>
              <w:rPr>
                <w:rFonts w:cs="Arial"/>
                <w:color w:val="auto"/>
                <w:sz w:val="22"/>
                <w:szCs w:val="22"/>
              </w:rPr>
            </w:pPr>
            <w:r w:rsidRPr="001175B2">
              <w:rPr>
                <w:rFonts w:cs="Arial"/>
                <w:color w:val="auto"/>
                <w:sz w:val="22"/>
                <w:szCs w:val="22"/>
              </w:rPr>
              <w:t xml:space="preserve">Our aim is to develop a focused Capital strategy development framework including clear principles guiding how we will collectively respond to national requests for funding. </w:t>
            </w:r>
            <w:r w:rsidR="0062598B">
              <w:rPr>
                <w:rFonts w:cs="Arial"/>
                <w:color w:val="auto"/>
                <w:sz w:val="22"/>
                <w:szCs w:val="22"/>
              </w:rPr>
              <w:t xml:space="preserve">We are also working </w:t>
            </w:r>
            <w:r w:rsidRPr="001175B2">
              <w:rPr>
                <w:rFonts w:cs="Arial"/>
                <w:color w:val="auto"/>
                <w:sz w:val="22"/>
                <w:szCs w:val="22"/>
              </w:rPr>
              <w:t>towards net zero carbon sustainability standards across the ICS system.</w:t>
            </w:r>
          </w:p>
          <w:p w14:paraId="5C9832F8" w14:textId="77777777" w:rsidR="00641386" w:rsidRPr="001175B2" w:rsidRDefault="00641386" w:rsidP="001C3FEF">
            <w:pPr>
              <w:spacing w:after="0" w:line="240" w:lineRule="auto"/>
              <w:contextualSpacing/>
              <w:textboxTightWrap w:val="none"/>
              <w:rPr>
                <w:rFonts w:cs="Arial"/>
                <w:color w:val="auto"/>
                <w:sz w:val="22"/>
                <w:szCs w:val="22"/>
              </w:rPr>
            </w:pPr>
          </w:p>
          <w:p w14:paraId="55E83BB8" w14:textId="1B44A163" w:rsidR="00641386" w:rsidRPr="001175B2" w:rsidRDefault="00641386" w:rsidP="001C3FEF">
            <w:pPr>
              <w:spacing w:after="0" w:line="240" w:lineRule="auto"/>
              <w:contextualSpacing/>
              <w:textboxTightWrap w:val="none"/>
              <w:rPr>
                <w:rFonts w:cs="Arial"/>
                <w:color w:val="auto"/>
                <w:sz w:val="22"/>
                <w:szCs w:val="22"/>
              </w:rPr>
            </w:pPr>
            <w:r w:rsidRPr="001175B2">
              <w:rPr>
                <w:rFonts w:cs="Arial"/>
                <w:color w:val="auto"/>
                <w:sz w:val="22"/>
                <w:szCs w:val="22"/>
              </w:rPr>
              <w:t xml:space="preserve">As national programme funds become available, the ICB ensures full adherence to well established collaborative arrangements to identify and prioritise investment, the most current examples being the multi-year community diagnostic allocation, Great Western Hospital urgent and emergency reconfiguration and working collaboratively </w:t>
            </w:r>
            <w:r w:rsidR="00E908F8">
              <w:rPr>
                <w:rFonts w:cs="Arial"/>
                <w:color w:val="auto"/>
                <w:sz w:val="22"/>
                <w:szCs w:val="22"/>
              </w:rPr>
              <w:t xml:space="preserve">intra ICB across the SW, BSW are lead commissioners for the North Capital </w:t>
            </w:r>
            <w:r w:rsidRPr="001175B2">
              <w:rPr>
                <w:rFonts w:cs="Arial"/>
                <w:color w:val="auto"/>
                <w:sz w:val="22"/>
                <w:szCs w:val="22"/>
              </w:rPr>
              <w:t>L</w:t>
            </w:r>
            <w:r w:rsidR="0062598B">
              <w:rPr>
                <w:rFonts w:cs="Arial"/>
                <w:color w:val="auto"/>
                <w:sz w:val="22"/>
                <w:szCs w:val="22"/>
              </w:rPr>
              <w:t xml:space="preserve">earning </w:t>
            </w:r>
            <w:r w:rsidRPr="001175B2">
              <w:rPr>
                <w:rFonts w:cs="Arial"/>
                <w:color w:val="auto"/>
                <w:sz w:val="22"/>
                <w:szCs w:val="22"/>
              </w:rPr>
              <w:t>D</w:t>
            </w:r>
            <w:r w:rsidR="0062598B">
              <w:rPr>
                <w:rFonts w:cs="Arial"/>
                <w:color w:val="auto"/>
                <w:sz w:val="22"/>
                <w:szCs w:val="22"/>
              </w:rPr>
              <w:t xml:space="preserve">isability and </w:t>
            </w:r>
            <w:r w:rsidRPr="001175B2">
              <w:rPr>
                <w:rFonts w:cs="Arial"/>
                <w:color w:val="auto"/>
                <w:sz w:val="22"/>
                <w:szCs w:val="22"/>
              </w:rPr>
              <w:t>A</w:t>
            </w:r>
            <w:r w:rsidR="0062598B">
              <w:rPr>
                <w:rFonts w:cs="Arial"/>
                <w:color w:val="auto"/>
                <w:sz w:val="22"/>
                <w:szCs w:val="22"/>
              </w:rPr>
              <w:t>utism</w:t>
            </w:r>
            <w:r w:rsidRPr="001175B2">
              <w:rPr>
                <w:rFonts w:cs="Arial"/>
                <w:color w:val="auto"/>
                <w:sz w:val="22"/>
                <w:szCs w:val="22"/>
              </w:rPr>
              <w:t xml:space="preserve"> facility</w:t>
            </w:r>
            <w:r w:rsidR="002D324A" w:rsidRPr="001175B2">
              <w:rPr>
                <w:rFonts w:cs="Arial"/>
                <w:color w:val="auto"/>
                <w:sz w:val="22"/>
                <w:szCs w:val="22"/>
              </w:rPr>
              <w:t xml:space="preserve">. </w:t>
            </w:r>
          </w:p>
          <w:p w14:paraId="4947E3B3" w14:textId="77777777" w:rsidR="00641386" w:rsidRPr="001175B2" w:rsidRDefault="00641386" w:rsidP="001C3FEF">
            <w:pPr>
              <w:spacing w:after="0" w:line="240" w:lineRule="auto"/>
              <w:contextualSpacing/>
              <w:textboxTightWrap w:val="none"/>
              <w:rPr>
                <w:rFonts w:cs="Arial"/>
                <w:color w:val="auto"/>
                <w:sz w:val="22"/>
                <w:szCs w:val="22"/>
              </w:rPr>
            </w:pPr>
          </w:p>
          <w:p w14:paraId="65F72C68" w14:textId="32F00E3C" w:rsidR="00641386" w:rsidRPr="001175B2" w:rsidRDefault="00641386" w:rsidP="001C3FEF">
            <w:pPr>
              <w:spacing w:after="0" w:line="240" w:lineRule="auto"/>
              <w:contextualSpacing/>
              <w:textboxTightWrap w:val="none"/>
              <w:rPr>
                <w:rFonts w:cs="Arial"/>
                <w:color w:val="auto"/>
                <w:sz w:val="22"/>
                <w:szCs w:val="22"/>
              </w:rPr>
            </w:pPr>
            <w:r w:rsidRPr="001175B2">
              <w:rPr>
                <w:rFonts w:cs="Arial"/>
                <w:color w:val="auto"/>
                <w:sz w:val="22"/>
                <w:szCs w:val="22"/>
              </w:rPr>
              <w:t xml:space="preserve">We </w:t>
            </w:r>
            <w:r w:rsidR="00E908F8">
              <w:rPr>
                <w:rFonts w:cs="Arial"/>
                <w:color w:val="auto"/>
                <w:sz w:val="22"/>
                <w:szCs w:val="22"/>
              </w:rPr>
              <w:t>are</w:t>
            </w:r>
            <w:r w:rsidRPr="001175B2">
              <w:rPr>
                <w:rFonts w:cs="Arial"/>
                <w:color w:val="auto"/>
                <w:sz w:val="22"/>
                <w:szCs w:val="22"/>
              </w:rPr>
              <w:t xml:space="preserve"> embarking on a programme to develop an ICS Infrastructure Strategy</w:t>
            </w:r>
            <w:r w:rsidR="00E908F8">
              <w:rPr>
                <w:rFonts w:cs="Arial"/>
                <w:color w:val="auto"/>
                <w:sz w:val="22"/>
                <w:szCs w:val="22"/>
              </w:rPr>
              <w:t>,</w:t>
            </w:r>
            <w:r w:rsidRPr="001175B2">
              <w:rPr>
                <w:rFonts w:cs="Arial"/>
                <w:color w:val="auto"/>
                <w:sz w:val="22"/>
                <w:szCs w:val="22"/>
              </w:rPr>
              <w:t xml:space="preserve"> which will shape our Capital investment plans and will ensure continued alignment of our strategic estates objectives to system clinical strategies and will consider further opportunities for achieving efficiencies and disposals.</w:t>
            </w:r>
          </w:p>
          <w:p w14:paraId="566F7E93" w14:textId="77777777" w:rsidR="00641386" w:rsidRPr="001175B2" w:rsidRDefault="00641386" w:rsidP="001C3FEF">
            <w:pPr>
              <w:spacing w:after="0" w:line="240" w:lineRule="auto"/>
              <w:contextualSpacing/>
              <w:textboxTightWrap w:val="none"/>
              <w:rPr>
                <w:rFonts w:cs="Arial"/>
                <w:color w:val="auto"/>
                <w:sz w:val="22"/>
                <w:szCs w:val="22"/>
              </w:rPr>
            </w:pPr>
          </w:p>
          <w:p w14:paraId="0E57C3B8" w14:textId="1D00B9B0" w:rsidR="00641386" w:rsidRPr="001175B2" w:rsidRDefault="00641386" w:rsidP="001C3FEF">
            <w:pPr>
              <w:spacing w:after="0" w:line="240" w:lineRule="auto"/>
              <w:contextualSpacing/>
              <w:textboxTightWrap w:val="none"/>
              <w:rPr>
                <w:rFonts w:cs="Arial"/>
                <w:color w:val="auto"/>
                <w:sz w:val="22"/>
                <w:szCs w:val="22"/>
              </w:rPr>
            </w:pPr>
            <w:r w:rsidRPr="001175B2">
              <w:rPr>
                <w:rFonts w:cs="Arial"/>
                <w:color w:val="auto"/>
                <w:sz w:val="22"/>
                <w:szCs w:val="22"/>
              </w:rPr>
              <w:t>We are continuing to work with system partners to review our public sector estate which can then be used effectively by other partners, to make the best use of public sector assets</w:t>
            </w:r>
            <w:r w:rsidR="00E908F8">
              <w:rPr>
                <w:rFonts w:cs="Arial"/>
                <w:color w:val="auto"/>
                <w:sz w:val="22"/>
                <w:szCs w:val="22"/>
              </w:rPr>
              <w:t xml:space="preserve"> to deliver on shared priorities</w:t>
            </w:r>
            <w:r w:rsidR="00114382" w:rsidRPr="001175B2">
              <w:rPr>
                <w:rFonts w:cs="Arial"/>
                <w:color w:val="auto"/>
                <w:sz w:val="22"/>
                <w:szCs w:val="22"/>
              </w:rPr>
              <w:t xml:space="preserve">. </w:t>
            </w:r>
          </w:p>
          <w:p w14:paraId="57FC160D" w14:textId="77777777" w:rsidR="00641386" w:rsidRDefault="00641386" w:rsidP="001C3FEF">
            <w:pPr>
              <w:spacing w:after="0" w:line="240" w:lineRule="auto"/>
              <w:contextualSpacing/>
              <w:textboxTightWrap w:val="none"/>
              <w:rPr>
                <w:rFonts w:cs="Arial"/>
                <w:color w:val="auto"/>
                <w:sz w:val="22"/>
                <w:szCs w:val="22"/>
              </w:rPr>
            </w:pPr>
          </w:p>
          <w:p w14:paraId="47AD7A89" w14:textId="77777777" w:rsidR="00641386" w:rsidRDefault="00641386" w:rsidP="001C3FEF">
            <w:pPr>
              <w:spacing w:after="0" w:line="240" w:lineRule="auto"/>
              <w:contextualSpacing/>
              <w:textboxTightWrap w:val="none"/>
              <w:rPr>
                <w:rFonts w:cs="Arial"/>
                <w:color w:val="auto"/>
                <w:sz w:val="22"/>
                <w:szCs w:val="22"/>
              </w:rPr>
            </w:pPr>
          </w:p>
          <w:p w14:paraId="594E0215" w14:textId="77777777" w:rsidR="003F4771" w:rsidRDefault="003F4771" w:rsidP="001C3FEF">
            <w:pPr>
              <w:spacing w:after="0" w:line="240" w:lineRule="auto"/>
              <w:contextualSpacing/>
              <w:textboxTightWrap w:val="none"/>
              <w:rPr>
                <w:rFonts w:cs="Arial"/>
                <w:color w:val="auto"/>
                <w:sz w:val="22"/>
                <w:szCs w:val="22"/>
              </w:rPr>
            </w:pPr>
          </w:p>
          <w:p w14:paraId="080B4E06" w14:textId="77777777" w:rsidR="003F4771" w:rsidRPr="00F96C1F" w:rsidRDefault="003F4771" w:rsidP="001C3FEF">
            <w:pPr>
              <w:spacing w:after="0" w:line="240" w:lineRule="auto"/>
              <w:contextualSpacing/>
              <w:textboxTightWrap w:val="none"/>
              <w:rPr>
                <w:rFonts w:cs="Arial"/>
                <w:color w:val="auto"/>
                <w:sz w:val="22"/>
                <w:szCs w:val="22"/>
              </w:rPr>
            </w:pPr>
          </w:p>
          <w:p w14:paraId="6542A1D9" w14:textId="77777777" w:rsidR="00641386" w:rsidRPr="00CA1AA6" w:rsidRDefault="00641386" w:rsidP="001C3FEF">
            <w:pPr>
              <w:pStyle w:val="ListParagraph"/>
              <w:spacing w:after="0" w:line="240" w:lineRule="auto"/>
              <w:ind w:left="720" w:firstLine="0"/>
              <w:contextualSpacing/>
              <w:textboxTightWrap w:val="none"/>
              <w:rPr>
                <w:rFonts w:cs="Arial"/>
                <w:i/>
                <w:iCs/>
                <w:color w:val="auto"/>
                <w:sz w:val="22"/>
                <w:szCs w:val="22"/>
              </w:rPr>
            </w:pPr>
          </w:p>
        </w:tc>
      </w:tr>
    </w:tbl>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86"/>
      </w:tblGrid>
      <w:tr w:rsidR="00351976" w:rsidRPr="00DE2C6E" w14:paraId="7AC273D7" w14:textId="77777777" w:rsidTr="00100E42">
        <w:trPr>
          <w:trHeight w:val="605"/>
        </w:trPr>
        <w:tc>
          <w:tcPr>
            <w:tcW w:w="5000" w:type="pct"/>
            <w:shd w:val="clear" w:color="auto" w:fill="0070C0"/>
            <w:vAlign w:val="center"/>
          </w:tcPr>
          <w:p w14:paraId="5B5C30A1" w14:textId="1E537DAC" w:rsidR="00351976" w:rsidRPr="00DE2C6E" w:rsidRDefault="00351976" w:rsidP="003706A4">
            <w:pPr>
              <w:rPr>
                <w:rFonts w:cs="Arial"/>
                <w:b/>
                <w:bCs/>
                <w:color w:val="000000" w:themeColor="text1"/>
              </w:rPr>
            </w:pPr>
            <w:r w:rsidRPr="00351976">
              <w:rPr>
                <w:rFonts w:cs="Arial"/>
                <w:b/>
                <w:bCs/>
                <w:color w:val="FFFFFF" w:themeColor="background1"/>
              </w:rPr>
              <w:lastRenderedPageBreak/>
              <w:t>Capital planning</w:t>
            </w:r>
          </w:p>
        </w:tc>
      </w:tr>
      <w:tr w:rsidR="00351976" w:rsidRPr="00DE2C6E" w14:paraId="62C3D56F" w14:textId="77777777" w:rsidTr="00100E42">
        <w:trPr>
          <w:trHeight w:val="1654"/>
        </w:trPr>
        <w:tc>
          <w:tcPr>
            <w:tcW w:w="5000" w:type="pct"/>
            <w:shd w:val="clear" w:color="auto" w:fill="auto"/>
          </w:tcPr>
          <w:p w14:paraId="7622F039" w14:textId="3B559EA5" w:rsidR="006662BC" w:rsidRDefault="006662BC" w:rsidP="00100E42">
            <w:pPr>
              <w:pStyle w:val="ListParagraph"/>
              <w:spacing w:line="276" w:lineRule="auto"/>
              <w:rPr>
                <w:rFonts w:cs="Arial"/>
                <w:color w:val="auto"/>
                <w:sz w:val="22"/>
                <w:szCs w:val="22"/>
              </w:rPr>
            </w:pPr>
          </w:p>
          <w:p w14:paraId="2C57E305" w14:textId="705FD4FA" w:rsidR="00585F7B" w:rsidRPr="00585F7B" w:rsidRDefault="00585F7B" w:rsidP="00100E42">
            <w:pPr>
              <w:spacing w:after="0" w:line="276" w:lineRule="auto"/>
              <w:contextualSpacing/>
              <w:textboxTightWrap w:val="none"/>
              <w:rPr>
                <w:rFonts w:cs="Arial"/>
                <w:color w:val="auto"/>
                <w:sz w:val="22"/>
                <w:szCs w:val="22"/>
              </w:rPr>
            </w:pPr>
            <w:r w:rsidRPr="00585F7B">
              <w:rPr>
                <w:rFonts w:cs="Arial"/>
                <w:color w:val="auto"/>
                <w:sz w:val="22"/>
                <w:szCs w:val="22"/>
              </w:rPr>
              <w:t xml:space="preserve">The BSW </w:t>
            </w:r>
            <w:r w:rsidR="00CB3597">
              <w:rPr>
                <w:rFonts w:cs="Arial"/>
                <w:color w:val="auto"/>
                <w:sz w:val="22"/>
                <w:szCs w:val="22"/>
              </w:rPr>
              <w:t xml:space="preserve">strategic </w:t>
            </w:r>
            <w:r w:rsidRPr="00585F7B">
              <w:rPr>
                <w:rFonts w:cs="Arial"/>
                <w:color w:val="auto"/>
                <w:sz w:val="22"/>
                <w:szCs w:val="22"/>
              </w:rPr>
              <w:t xml:space="preserve">vision is </w:t>
            </w:r>
            <w:r w:rsidR="00E908F8">
              <w:rPr>
                <w:rFonts w:cs="Arial"/>
                <w:color w:val="auto"/>
                <w:sz w:val="22"/>
                <w:szCs w:val="22"/>
              </w:rPr>
              <w:t xml:space="preserve">ambitious and </w:t>
            </w:r>
            <w:r w:rsidRPr="00585F7B">
              <w:rPr>
                <w:rFonts w:cs="Arial"/>
                <w:color w:val="auto"/>
                <w:sz w:val="22"/>
                <w:szCs w:val="22"/>
              </w:rPr>
              <w:t xml:space="preserve">realistic, with plans around delivery and operations, </w:t>
            </w:r>
            <w:r w:rsidR="00083484" w:rsidRPr="00585F7B">
              <w:rPr>
                <w:rFonts w:cs="Arial"/>
                <w:color w:val="auto"/>
                <w:sz w:val="22"/>
                <w:szCs w:val="22"/>
              </w:rPr>
              <w:t>which</w:t>
            </w:r>
            <w:r w:rsidRPr="00585F7B">
              <w:rPr>
                <w:rFonts w:cs="Arial"/>
                <w:color w:val="auto"/>
                <w:sz w:val="22"/>
                <w:szCs w:val="22"/>
              </w:rPr>
              <w:t xml:space="preserve"> enable us to be streamlined and equitable across all parts of our system to deliver our BSW Together Integrated Care Strategy</w:t>
            </w:r>
            <w:r w:rsidR="0062598B">
              <w:rPr>
                <w:rFonts w:cs="Arial"/>
                <w:color w:val="auto"/>
                <w:sz w:val="22"/>
                <w:szCs w:val="22"/>
              </w:rPr>
              <w:t>.</w:t>
            </w:r>
          </w:p>
          <w:p w14:paraId="42ACF7B4" w14:textId="77777777" w:rsidR="00585F7B" w:rsidRPr="00585F7B" w:rsidRDefault="00585F7B" w:rsidP="00100E42">
            <w:pPr>
              <w:spacing w:after="0" w:line="276" w:lineRule="auto"/>
              <w:contextualSpacing/>
              <w:textboxTightWrap w:val="none"/>
              <w:rPr>
                <w:rFonts w:cs="Arial"/>
                <w:color w:val="auto"/>
                <w:sz w:val="22"/>
                <w:szCs w:val="22"/>
              </w:rPr>
            </w:pPr>
            <w:r w:rsidRPr="00585F7B">
              <w:rPr>
                <w:rFonts w:cs="Arial"/>
                <w:color w:val="auto"/>
                <w:sz w:val="22"/>
                <w:szCs w:val="22"/>
              </w:rPr>
              <w:t>We will look to manage space demand and capacity effectively; utilising technology and digital systems to minimise workforce requirements and to reduce complexities around infrastructure management, thinking laterally and innovatively, but at the same time must be realistic and ensure our plans are deliverable in the short, medium, and long term and manage our expectations.</w:t>
            </w:r>
          </w:p>
          <w:p w14:paraId="17CA281A" w14:textId="00A799C6" w:rsidR="00585F7B" w:rsidRDefault="00585F7B" w:rsidP="00100E42">
            <w:pPr>
              <w:spacing w:after="0" w:line="276" w:lineRule="auto"/>
              <w:contextualSpacing/>
              <w:textboxTightWrap w:val="none"/>
              <w:rPr>
                <w:rFonts w:cs="Arial"/>
                <w:color w:val="auto"/>
                <w:sz w:val="22"/>
                <w:szCs w:val="22"/>
              </w:rPr>
            </w:pPr>
            <w:r w:rsidRPr="00585F7B">
              <w:rPr>
                <w:rFonts w:cs="Arial"/>
                <w:color w:val="auto"/>
                <w:sz w:val="22"/>
                <w:szCs w:val="22"/>
              </w:rPr>
              <w:t>We will not be able to do all the things we want to do and will need to look at alternative delivery models and re-shaping some of our operational management to enable us to make infrastructure improvements where we need to. We need to be able to re-allocate, re-direct and re-deploy resource as required.</w:t>
            </w:r>
          </w:p>
          <w:p w14:paraId="2F9AE648" w14:textId="77777777" w:rsidR="00585F7B" w:rsidRDefault="00585F7B" w:rsidP="00100E42">
            <w:pPr>
              <w:spacing w:after="0" w:line="276" w:lineRule="auto"/>
              <w:contextualSpacing/>
              <w:textboxTightWrap w:val="none"/>
              <w:rPr>
                <w:rFonts w:cs="Arial"/>
                <w:color w:val="auto"/>
                <w:sz w:val="22"/>
                <w:szCs w:val="22"/>
              </w:rPr>
            </w:pPr>
          </w:p>
          <w:p w14:paraId="576CC2FC" w14:textId="56DCEA4C" w:rsidR="00A0081D" w:rsidRPr="00A0081D" w:rsidRDefault="00A0081D" w:rsidP="00100E42">
            <w:pPr>
              <w:spacing w:after="0" w:line="276" w:lineRule="auto"/>
              <w:contextualSpacing/>
              <w:textboxTightWrap w:val="none"/>
              <w:rPr>
                <w:rFonts w:cs="Arial"/>
                <w:color w:val="auto"/>
                <w:sz w:val="22"/>
                <w:szCs w:val="22"/>
              </w:rPr>
            </w:pPr>
            <w:r w:rsidRPr="00A0081D">
              <w:rPr>
                <w:rFonts w:cs="Arial"/>
                <w:color w:val="auto"/>
                <w:sz w:val="22"/>
                <w:szCs w:val="22"/>
              </w:rPr>
              <w:t>For the provider trusts’ operational core plans, the fundable priorities are established using prioritisation</w:t>
            </w:r>
            <w:r>
              <w:rPr>
                <w:rFonts w:cs="Arial"/>
                <w:color w:val="auto"/>
                <w:sz w:val="22"/>
                <w:szCs w:val="22"/>
              </w:rPr>
              <w:t xml:space="preserve"> </w:t>
            </w:r>
            <w:r w:rsidRPr="00A0081D">
              <w:rPr>
                <w:rFonts w:cs="Arial"/>
                <w:color w:val="auto"/>
                <w:sz w:val="22"/>
                <w:szCs w:val="22"/>
              </w:rPr>
              <w:t xml:space="preserve">approaches, to achieve a best </w:t>
            </w:r>
            <w:r w:rsidR="000D4DD8" w:rsidRPr="00A0081D">
              <w:rPr>
                <w:rFonts w:cs="Arial"/>
                <w:color w:val="auto"/>
                <w:sz w:val="22"/>
                <w:szCs w:val="22"/>
              </w:rPr>
              <w:t>balance</w:t>
            </w:r>
            <w:r w:rsidRPr="00A0081D">
              <w:rPr>
                <w:rFonts w:cs="Arial"/>
                <w:color w:val="auto"/>
                <w:sz w:val="22"/>
                <w:szCs w:val="22"/>
              </w:rPr>
              <w:t xml:space="preserve"> to the available capital allocation against competing</w:t>
            </w:r>
            <w:r>
              <w:rPr>
                <w:rFonts w:cs="Arial"/>
                <w:color w:val="auto"/>
                <w:sz w:val="22"/>
                <w:szCs w:val="22"/>
              </w:rPr>
              <w:t xml:space="preserve"> </w:t>
            </w:r>
            <w:r w:rsidRPr="00A0081D">
              <w:rPr>
                <w:rFonts w:cs="Arial"/>
                <w:color w:val="auto"/>
                <w:sz w:val="22"/>
                <w:szCs w:val="22"/>
              </w:rPr>
              <w:t xml:space="preserve">operational demands. The capped allocation only covers: </w:t>
            </w:r>
          </w:p>
          <w:p w14:paraId="02812D92" w14:textId="77777777" w:rsidR="00A0081D" w:rsidRPr="00A0081D" w:rsidRDefault="00A0081D" w:rsidP="00100E42">
            <w:pPr>
              <w:spacing w:after="0" w:line="276" w:lineRule="auto"/>
              <w:contextualSpacing/>
              <w:textboxTightWrap w:val="none"/>
              <w:rPr>
                <w:rFonts w:cs="Arial"/>
                <w:color w:val="auto"/>
                <w:sz w:val="22"/>
                <w:szCs w:val="22"/>
              </w:rPr>
            </w:pPr>
            <w:r w:rsidRPr="00A0081D">
              <w:rPr>
                <w:rFonts w:cs="Arial"/>
                <w:color w:val="auto"/>
                <w:sz w:val="22"/>
                <w:szCs w:val="22"/>
              </w:rPr>
              <w:t>– a selection of highest risk patient safety and Care Quality Commission (CQC) issues</w:t>
            </w:r>
          </w:p>
          <w:p w14:paraId="30BDDC5C" w14:textId="77777777" w:rsidR="00A0081D" w:rsidRPr="00A0081D" w:rsidRDefault="00A0081D" w:rsidP="00100E42">
            <w:pPr>
              <w:spacing w:after="0" w:line="276" w:lineRule="auto"/>
              <w:contextualSpacing/>
              <w:textboxTightWrap w:val="none"/>
              <w:rPr>
                <w:rFonts w:cs="Arial"/>
                <w:color w:val="auto"/>
                <w:sz w:val="22"/>
                <w:szCs w:val="22"/>
              </w:rPr>
            </w:pPr>
            <w:r w:rsidRPr="00A0081D">
              <w:rPr>
                <w:rFonts w:cs="Arial"/>
                <w:color w:val="auto"/>
                <w:sz w:val="22"/>
                <w:szCs w:val="22"/>
              </w:rPr>
              <w:t>– backlog maintenance</w:t>
            </w:r>
          </w:p>
          <w:p w14:paraId="7EBB703D" w14:textId="77777777" w:rsidR="00A0081D" w:rsidRPr="00A0081D" w:rsidRDefault="00A0081D" w:rsidP="00100E42">
            <w:pPr>
              <w:spacing w:after="0" w:line="276" w:lineRule="auto"/>
              <w:contextualSpacing/>
              <w:textboxTightWrap w:val="none"/>
              <w:rPr>
                <w:rFonts w:cs="Arial"/>
                <w:color w:val="auto"/>
                <w:sz w:val="22"/>
                <w:szCs w:val="22"/>
              </w:rPr>
            </w:pPr>
            <w:r w:rsidRPr="00A0081D">
              <w:rPr>
                <w:rFonts w:cs="Arial"/>
                <w:color w:val="auto"/>
                <w:sz w:val="22"/>
                <w:szCs w:val="22"/>
              </w:rPr>
              <w:t>– replacement of critical medical equipment</w:t>
            </w:r>
          </w:p>
          <w:p w14:paraId="2F6CB91E" w14:textId="7D056301" w:rsidR="00A0081D" w:rsidRPr="00A0081D" w:rsidRDefault="00A0081D" w:rsidP="00100E42">
            <w:pPr>
              <w:spacing w:after="0" w:line="276" w:lineRule="auto"/>
              <w:contextualSpacing/>
              <w:textboxTightWrap w:val="none"/>
              <w:rPr>
                <w:rFonts w:cs="Arial"/>
                <w:color w:val="auto"/>
                <w:sz w:val="22"/>
                <w:szCs w:val="22"/>
              </w:rPr>
            </w:pPr>
            <w:r w:rsidRPr="00A0081D">
              <w:rPr>
                <w:rFonts w:cs="Arial"/>
                <w:color w:val="auto"/>
                <w:sz w:val="22"/>
                <w:szCs w:val="22"/>
              </w:rPr>
              <w:t>– minimum information management and technology (IMT) investment (e.g. the most critical technical</w:t>
            </w:r>
            <w:r>
              <w:rPr>
                <w:rFonts w:cs="Arial"/>
                <w:color w:val="auto"/>
                <w:sz w:val="22"/>
                <w:szCs w:val="22"/>
              </w:rPr>
              <w:t xml:space="preserve"> </w:t>
            </w:r>
            <w:r w:rsidRPr="00A0081D">
              <w:rPr>
                <w:rFonts w:cs="Arial"/>
                <w:color w:val="auto"/>
                <w:sz w:val="22"/>
                <w:szCs w:val="22"/>
              </w:rPr>
              <w:t>refresh issues, cybersecurity etc)</w:t>
            </w:r>
            <w:r w:rsidR="004B7A52">
              <w:rPr>
                <w:rFonts w:cs="Arial"/>
                <w:color w:val="auto"/>
                <w:sz w:val="22"/>
                <w:szCs w:val="22"/>
              </w:rPr>
              <w:t>.</w:t>
            </w:r>
          </w:p>
          <w:p w14:paraId="7AF01CB2" w14:textId="77777777" w:rsidR="00A72444" w:rsidRDefault="00A72444" w:rsidP="00100E42">
            <w:pPr>
              <w:spacing w:after="0" w:line="276" w:lineRule="auto"/>
              <w:contextualSpacing/>
              <w:textboxTightWrap w:val="none"/>
              <w:rPr>
                <w:rFonts w:cs="Arial"/>
                <w:color w:val="auto"/>
                <w:sz w:val="22"/>
                <w:szCs w:val="22"/>
              </w:rPr>
            </w:pPr>
          </w:p>
          <w:p w14:paraId="56758959" w14:textId="6FFEBBA0" w:rsidR="006662BC" w:rsidRDefault="00A0081D" w:rsidP="00100E42">
            <w:pPr>
              <w:spacing w:after="0" w:line="276" w:lineRule="auto"/>
              <w:contextualSpacing/>
              <w:textboxTightWrap w:val="none"/>
              <w:rPr>
                <w:rFonts w:cs="Arial"/>
                <w:color w:val="auto"/>
                <w:sz w:val="22"/>
                <w:szCs w:val="22"/>
              </w:rPr>
            </w:pPr>
            <w:r w:rsidRPr="00A0081D">
              <w:rPr>
                <w:rFonts w:cs="Arial"/>
                <w:color w:val="auto"/>
                <w:sz w:val="22"/>
                <w:szCs w:val="22"/>
              </w:rPr>
              <w:t>The ICB capital allocation has to fund General Practitioners’ (GP) IMT, primary care minor</w:t>
            </w:r>
            <w:r>
              <w:rPr>
                <w:rFonts w:cs="Arial"/>
                <w:color w:val="auto"/>
                <w:sz w:val="22"/>
                <w:szCs w:val="22"/>
              </w:rPr>
              <w:t xml:space="preserve"> </w:t>
            </w:r>
            <w:r w:rsidRPr="00A0081D">
              <w:rPr>
                <w:rFonts w:cs="Arial"/>
                <w:color w:val="auto"/>
                <w:sz w:val="22"/>
                <w:szCs w:val="22"/>
              </w:rPr>
              <w:t>improvements grants and any ICB operational requirements.</w:t>
            </w:r>
          </w:p>
          <w:p w14:paraId="65D2A96A" w14:textId="77777777" w:rsidR="00142B7B" w:rsidRDefault="00142B7B" w:rsidP="00100E42">
            <w:pPr>
              <w:spacing w:after="0" w:line="276" w:lineRule="auto"/>
              <w:contextualSpacing/>
              <w:textboxTightWrap w:val="none"/>
              <w:rPr>
                <w:rFonts w:cs="Arial"/>
                <w:color w:val="auto"/>
                <w:sz w:val="22"/>
                <w:szCs w:val="22"/>
              </w:rPr>
            </w:pPr>
          </w:p>
          <w:p w14:paraId="4727D977" w14:textId="0DD776F7" w:rsidR="00142B7B" w:rsidRDefault="00142B7B" w:rsidP="00100E42">
            <w:pPr>
              <w:spacing w:after="0" w:line="276" w:lineRule="auto"/>
              <w:contextualSpacing/>
              <w:textboxTightWrap w:val="none"/>
              <w:rPr>
                <w:rFonts w:cs="Arial"/>
                <w:color w:val="auto"/>
                <w:sz w:val="22"/>
                <w:szCs w:val="22"/>
              </w:rPr>
            </w:pPr>
            <w:r w:rsidRPr="00142B7B">
              <w:rPr>
                <w:rFonts w:cs="Arial"/>
                <w:color w:val="auto"/>
                <w:sz w:val="22"/>
                <w:szCs w:val="22"/>
              </w:rPr>
              <w:t>Proposals relating to nationally funded significant developments, New Hospital Programme and National</w:t>
            </w:r>
            <w:r w:rsidR="00CB3597">
              <w:rPr>
                <w:rFonts w:cs="Arial"/>
                <w:color w:val="auto"/>
                <w:sz w:val="22"/>
                <w:szCs w:val="22"/>
              </w:rPr>
              <w:t xml:space="preserve"> </w:t>
            </w:r>
            <w:r w:rsidRPr="00142B7B">
              <w:rPr>
                <w:rFonts w:cs="Arial"/>
                <w:color w:val="auto"/>
                <w:sz w:val="22"/>
                <w:szCs w:val="22"/>
              </w:rPr>
              <w:t>Programme schemes are dependent upon dedicated sources of funding, separately identified and ringfenced for the agreed schemes</w:t>
            </w:r>
            <w:r w:rsidR="004B7A52">
              <w:rPr>
                <w:rFonts w:cs="Arial"/>
                <w:color w:val="auto"/>
                <w:sz w:val="22"/>
                <w:szCs w:val="22"/>
              </w:rPr>
              <w:t xml:space="preserve"> and we await further direction about the status of these schemes from the </w:t>
            </w:r>
            <w:r w:rsidR="00780957">
              <w:rPr>
                <w:rFonts w:cs="Arial"/>
                <w:color w:val="auto"/>
                <w:sz w:val="22"/>
                <w:szCs w:val="22"/>
              </w:rPr>
              <w:t>new government</w:t>
            </w:r>
            <w:r w:rsidRPr="00142B7B">
              <w:rPr>
                <w:rFonts w:cs="Arial"/>
                <w:color w:val="auto"/>
                <w:sz w:val="22"/>
                <w:szCs w:val="22"/>
              </w:rPr>
              <w:t>.</w:t>
            </w:r>
          </w:p>
          <w:p w14:paraId="0E2C01DC" w14:textId="77777777" w:rsidR="00142B7B" w:rsidRDefault="00142B7B" w:rsidP="00100E42">
            <w:pPr>
              <w:spacing w:after="0" w:line="276" w:lineRule="auto"/>
              <w:contextualSpacing/>
              <w:textboxTightWrap w:val="none"/>
              <w:rPr>
                <w:rFonts w:cs="Arial"/>
                <w:color w:val="auto"/>
                <w:sz w:val="22"/>
                <w:szCs w:val="22"/>
              </w:rPr>
            </w:pPr>
          </w:p>
          <w:p w14:paraId="76773830" w14:textId="73F35B22" w:rsidR="006662BC" w:rsidRDefault="006662BC" w:rsidP="00100E42">
            <w:pPr>
              <w:spacing w:after="0" w:line="276" w:lineRule="auto"/>
              <w:contextualSpacing/>
              <w:textboxTightWrap w:val="none"/>
              <w:rPr>
                <w:rFonts w:cs="Arial"/>
                <w:color w:val="auto"/>
                <w:sz w:val="22"/>
                <w:szCs w:val="22"/>
              </w:rPr>
            </w:pPr>
            <w:r w:rsidRPr="006662BC">
              <w:rPr>
                <w:rFonts w:cs="Arial"/>
                <w:color w:val="auto"/>
                <w:sz w:val="22"/>
                <w:szCs w:val="22"/>
              </w:rPr>
              <w:t>We face a very challenging financial climate, and we need to be able to do more, with less. We need to create financial sustainability by taking a long term, strategic and system wide approach to ensure we can create quality, efficient infrastructure for the future. Spending within our means is one of the driving principles for change; it shapes all our future plans ensuring we are maximising the funding available to us and that we take a ‘</w:t>
            </w:r>
            <w:r w:rsidR="00083484" w:rsidRPr="006662BC">
              <w:rPr>
                <w:rFonts w:cs="Arial"/>
                <w:color w:val="auto"/>
                <w:sz w:val="22"/>
                <w:szCs w:val="22"/>
              </w:rPr>
              <w:t>whole life</w:t>
            </w:r>
            <w:r w:rsidRPr="006662BC">
              <w:rPr>
                <w:rFonts w:cs="Arial"/>
                <w:color w:val="auto"/>
                <w:sz w:val="22"/>
                <w:szCs w:val="22"/>
              </w:rPr>
              <w:t>’ view around affordability.</w:t>
            </w:r>
          </w:p>
          <w:p w14:paraId="508D9617" w14:textId="77777777" w:rsidR="00351976" w:rsidRPr="00CA1AA6" w:rsidRDefault="00351976" w:rsidP="003706A4">
            <w:pPr>
              <w:pStyle w:val="ListParagraph"/>
              <w:spacing w:after="0" w:line="240" w:lineRule="auto"/>
              <w:ind w:left="720" w:firstLine="0"/>
              <w:contextualSpacing/>
              <w:textboxTightWrap w:val="none"/>
              <w:rPr>
                <w:rFonts w:cs="Arial"/>
                <w:i/>
                <w:iCs/>
                <w:color w:val="auto"/>
                <w:sz w:val="22"/>
                <w:szCs w:val="22"/>
              </w:rPr>
            </w:pPr>
          </w:p>
        </w:tc>
      </w:tr>
      <w:tr w:rsidR="00351976" w:rsidRPr="00DE2C6E" w14:paraId="27E43CFE" w14:textId="77777777" w:rsidTr="00100E42">
        <w:trPr>
          <w:trHeight w:val="605"/>
        </w:trPr>
        <w:tc>
          <w:tcPr>
            <w:tcW w:w="5000" w:type="pct"/>
            <w:shd w:val="clear" w:color="auto" w:fill="0070C0"/>
            <w:vAlign w:val="center"/>
          </w:tcPr>
          <w:p w14:paraId="606543BB" w14:textId="77777777" w:rsidR="00351976" w:rsidRPr="00DE2C6E" w:rsidRDefault="00351976" w:rsidP="003706A4">
            <w:pPr>
              <w:rPr>
                <w:rFonts w:cs="Arial"/>
                <w:b/>
                <w:bCs/>
                <w:color w:val="000000" w:themeColor="text1"/>
              </w:rPr>
            </w:pPr>
            <w:r w:rsidRPr="00351976">
              <w:rPr>
                <w:rFonts w:cs="Arial"/>
                <w:b/>
                <w:bCs/>
                <w:color w:val="FFFFFF" w:themeColor="background1"/>
              </w:rPr>
              <w:lastRenderedPageBreak/>
              <w:t>Overview of ongoing scheme progression</w:t>
            </w:r>
          </w:p>
        </w:tc>
      </w:tr>
      <w:tr w:rsidR="00351976" w:rsidRPr="00DE2C6E" w14:paraId="6C03320E" w14:textId="77777777" w:rsidTr="00100E42">
        <w:trPr>
          <w:trHeight w:val="1654"/>
        </w:trPr>
        <w:tc>
          <w:tcPr>
            <w:tcW w:w="5000" w:type="pct"/>
            <w:shd w:val="clear" w:color="auto" w:fill="auto"/>
          </w:tcPr>
          <w:p w14:paraId="6FF03A0B" w14:textId="53A91E2F" w:rsidR="000A1938" w:rsidRDefault="00351976" w:rsidP="000A1938">
            <w:pPr>
              <w:spacing w:after="0" w:line="240" w:lineRule="auto"/>
              <w:contextualSpacing/>
              <w:textboxTightWrap w:val="none"/>
              <w:rPr>
                <w:rFonts w:cs="Arial"/>
                <w:color w:val="auto"/>
                <w:sz w:val="22"/>
                <w:szCs w:val="22"/>
              </w:rPr>
            </w:pPr>
            <w:r>
              <w:rPr>
                <w:rFonts w:cs="Arial"/>
                <w:color w:val="auto"/>
                <w:sz w:val="22"/>
                <w:szCs w:val="22"/>
              </w:rPr>
              <w:t xml:space="preserve"> </w:t>
            </w:r>
          </w:p>
          <w:p w14:paraId="7A583EB9" w14:textId="1A70DDA4" w:rsidR="00654F7A" w:rsidRDefault="00654F7A" w:rsidP="00654F7A">
            <w:pPr>
              <w:spacing w:after="0" w:line="240" w:lineRule="auto"/>
              <w:contextualSpacing/>
              <w:textboxTightWrap w:val="none"/>
              <w:rPr>
                <w:rFonts w:cs="Arial"/>
                <w:color w:val="auto"/>
                <w:sz w:val="22"/>
                <w:szCs w:val="22"/>
              </w:rPr>
            </w:pPr>
            <w:r w:rsidRPr="00654F7A">
              <w:rPr>
                <w:rFonts w:cs="Arial"/>
                <w:b/>
                <w:bCs/>
                <w:color w:val="auto"/>
                <w:sz w:val="22"/>
                <w:szCs w:val="22"/>
              </w:rPr>
              <w:t xml:space="preserve">Community Diagnostic Centres (CDC): </w:t>
            </w:r>
            <w:r w:rsidRPr="00654F7A">
              <w:rPr>
                <w:rFonts w:cs="Arial"/>
                <w:color w:val="auto"/>
                <w:sz w:val="22"/>
                <w:szCs w:val="22"/>
              </w:rPr>
              <w:t xml:space="preserve">CDCs will provide earlier diagnostic tests closer to home for the BSW population and support the elective backlog recovery programme. BSW has three CDCs which are situated at Sulis Hospital Bath, West Swindon Health </w:t>
            </w:r>
            <w:r w:rsidR="00114382" w:rsidRPr="00654F7A">
              <w:rPr>
                <w:rFonts w:cs="Arial"/>
                <w:color w:val="auto"/>
                <w:sz w:val="22"/>
                <w:szCs w:val="22"/>
              </w:rPr>
              <w:t>Centre,</w:t>
            </w:r>
            <w:r w:rsidRPr="00654F7A">
              <w:rPr>
                <w:rFonts w:cs="Arial"/>
                <w:color w:val="auto"/>
                <w:sz w:val="22"/>
                <w:szCs w:val="22"/>
              </w:rPr>
              <w:t xml:space="preserve"> and Central Health Clinic in Salisbury. Swindon provide a full range of imaging, </w:t>
            </w:r>
            <w:r w:rsidR="00F17592" w:rsidRPr="00654F7A">
              <w:rPr>
                <w:rFonts w:cs="Arial"/>
                <w:color w:val="auto"/>
                <w:sz w:val="22"/>
                <w:szCs w:val="22"/>
              </w:rPr>
              <w:t>endoscopy,</w:t>
            </w:r>
            <w:r w:rsidRPr="00654F7A">
              <w:rPr>
                <w:rFonts w:cs="Arial"/>
                <w:color w:val="auto"/>
                <w:sz w:val="22"/>
                <w:szCs w:val="22"/>
              </w:rPr>
              <w:t xml:space="preserve"> and physiological measurement tests; the Central Health Clinic, Salisbury provides more limited imaging, </w:t>
            </w:r>
            <w:r w:rsidR="00114382" w:rsidRPr="00654F7A">
              <w:rPr>
                <w:rFonts w:cs="Arial"/>
                <w:color w:val="auto"/>
                <w:sz w:val="22"/>
                <w:szCs w:val="22"/>
              </w:rPr>
              <w:t>Echo,</w:t>
            </w:r>
            <w:r w:rsidRPr="00654F7A">
              <w:rPr>
                <w:rFonts w:cs="Arial"/>
                <w:color w:val="auto"/>
                <w:sz w:val="22"/>
                <w:szCs w:val="22"/>
              </w:rPr>
              <w:t xml:space="preserve"> and ophthalmology assessments</w:t>
            </w:r>
            <w:r w:rsidR="00114382" w:rsidRPr="00654F7A">
              <w:rPr>
                <w:rFonts w:cs="Arial"/>
                <w:color w:val="auto"/>
                <w:sz w:val="22"/>
                <w:szCs w:val="22"/>
              </w:rPr>
              <w:t xml:space="preserve">. </w:t>
            </w:r>
            <w:r w:rsidRPr="00654F7A">
              <w:rPr>
                <w:rFonts w:cs="Arial"/>
                <w:color w:val="auto"/>
                <w:sz w:val="22"/>
                <w:szCs w:val="22"/>
              </w:rPr>
              <w:t xml:space="preserve">The total scheme value is £16.5M central capital over two years (23/24 &amp; 24/25), with planned annual revenue income of £16.6M. All three </w:t>
            </w:r>
            <w:proofErr w:type="gramStart"/>
            <w:r w:rsidRPr="00654F7A">
              <w:rPr>
                <w:rFonts w:cs="Arial"/>
                <w:color w:val="auto"/>
                <w:sz w:val="22"/>
                <w:szCs w:val="22"/>
              </w:rPr>
              <w:t>CDC’s</w:t>
            </w:r>
            <w:proofErr w:type="gramEnd"/>
            <w:r w:rsidRPr="00654F7A">
              <w:rPr>
                <w:rFonts w:cs="Arial"/>
                <w:color w:val="auto"/>
                <w:sz w:val="22"/>
                <w:szCs w:val="22"/>
              </w:rPr>
              <w:t xml:space="preserve"> went live in </w:t>
            </w:r>
            <w:r w:rsidR="00083484" w:rsidRPr="00654F7A">
              <w:rPr>
                <w:rFonts w:cs="Arial"/>
                <w:color w:val="auto"/>
                <w:sz w:val="22"/>
                <w:szCs w:val="22"/>
              </w:rPr>
              <w:t>April 24 and</w:t>
            </w:r>
            <w:r w:rsidRPr="00654F7A">
              <w:rPr>
                <w:rFonts w:cs="Arial"/>
                <w:color w:val="auto"/>
                <w:sz w:val="22"/>
                <w:szCs w:val="22"/>
              </w:rPr>
              <w:t xml:space="preserve"> roll out completed by March 25.</w:t>
            </w:r>
          </w:p>
          <w:p w14:paraId="1A989671" w14:textId="77777777" w:rsidR="00654F7A" w:rsidRDefault="00654F7A" w:rsidP="00654F7A">
            <w:pPr>
              <w:spacing w:after="0" w:line="240" w:lineRule="auto"/>
              <w:contextualSpacing/>
              <w:textboxTightWrap w:val="none"/>
              <w:rPr>
                <w:rFonts w:cs="Arial"/>
                <w:color w:val="auto"/>
                <w:sz w:val="22"/>
                <w:szCs w:val="22"/>
              </w:rPr>
            </w:pPr>
          </w:p>
          <w:p w14:paraId="21CD6125" w14:textId="3FB24678" w:rsidR="00654F7A" w:rsidRPr="00654F7A" w:rsidRDefault="00654F7A" w:rsidP="00654F7A">
            <w:pPr>
              <w:spacing w:after="0" w:line="240" w:lineRule="auto"/>
              <w:contextualSpacing/>
              <w:textboxTightWrap w:val="none"/>
              <w:rPr>
                <w:rFonts w:cs="Arial"/>
                <w:color w:val="auto"/>
                <w:sz w:val="22"/>
                <w:szCs w:val="22"/>
              </w:rPr>
            </w:pPr>
            <w:r w:rsidRPr="00654F7A">
              <w:rPr>
                <w:rFonts w:cs="Arial"/>
                <w:b/>
                <w:bCs/>
                <w:color w:val="auto"/>
                <w:sz w:val="22"/>
                <w:szCs w:val="22"/>
              </w:rPr>
              <w:t>Dyson Cancer Centre:</w:t>
            </w:r>
            <w:r>
              <w:rPr>
                <w:rFonts w:cs="Arial"/>
                <w:color w:val="auto"/>
                <w:sz w:val="22"/>
                <w:szCs w:val="22"/>
              </w:rPr>
              <w:t xml:space="preserve"> </w:t>
            </w:r>
            <w:r w:rsidRPr="00654F7A">
              <w:rPr>
                <w:rFonts w:cs="Arial"/>
                <w:color w:val="auto"/>
                <w:sz w:val="22"/>
                <w:szCs w:val="22"/>
              </w:rPr>
              <w:t xml:space="preserve">The </w:t>
            </w:r>
            <w:r w:rsidR="00953A0B" w:rsidRPr="00654F7A">
              <w:rPr>
                <w:rFonts w:cs="Arial"/>
                <w:color w:val="auto"/>
                <w:sz w:val="22"/>
                <w:szCs w:val="22"/>
              </w:rPr>
              <w:t>purpose-built</w:t>
            </w:r>
            <w:r w:rsidRPr="00654F7A">
              <w:rPr>
                <w:rFonts w:cs="Arial"/>
                <w:color w:val="auto"/>
                <w:sz w:val="22"/>
                <w:szCs w:val="22"/>
              </w:rPr>
              <w:t xml:space="preserve"> facility will provide a cancer services hub for over 500,000 people in the South West. The Dyson Cancer Centre </w:t>
            </w:r>
            <w:r>
              <w:rPr>
                <w:rFonts w:cs="Arial"/>
                <w:color w:val="auto"/>
                <w:sz w:val="22"/>
                <w:szCs w:val="22"/>
              </w:rPr>
              <w:t>brings</w:t>
            </w:r>
            <w:r w:rsidRPr="00654F7A">
              <w:rPr>
                <w:rFonts w:cs="Arial"/>
                <w:color w:val="auto"/>
                <w:sz w:val="22"/>
                <w:szCs w:val="22"/>
              </w:rPr>
              <w:t xml:space="preserve"> together the majority of the RUH’s cancer services, including research, under one roof. It provide</w:t>
            </w:r>
            <w:r>
              <w:rPr>
                <w:rFonts w:cs="Arial"/>
                <w:color w:val="auto"/>
                <w:sz w:val="22"/>
                <w:szCs w:val="22"/>
              </w:rPr>
              <w:t>s</w:t>
            </w:r>
            <w:r w:rsidRPr="00654F7A">
              <w:rPr>
                <w:rFonts w:cs="Arial"/>
                <w:color w:val="auto"/>
                <w:sz w:val="22"/>
                <w:szCs w:val="22"/>
              </w:rPr>
              <w:t xml:space="preserve"> oncology, chemotherapy and radiotherapy services and a 22-bed inpatient ward as well as a Macmillan Wellbeing Hub</w:t>
            </w:r>
            <w:r w:rsidR="00114382" w:rsidRPr="00654F7A">
              <w:rPr>
                <w:rFonts w:cs="Arial"/>
                <w:color w:val="auto"/>
                <w:sz w:val="22"/>
                <w:szCs w:val="22"/>
              </w:rPr>
              <w:t xml:space="preserve">. </w:t>
            </w:r>
            <w:r w:rsidRPr="00654F7A">
              <w:rPr>
                <w:rFonts w:cs="Arial"/>
                <w:color w:val="auto"/>
                <w:sz w:val="22"/>
                <w:szCs w:val="22"/>
              </w:rPr>
              <w:t xml:space="preserve">The clinical imaging and diagnostics department are </w:t>
            </w:r>
            <w:r>
              <w:rPr>
                <w:rFonts w:cs="Arial"/>
                <w:color w:val="auto"/>
                <w:sz w:val="22"/>
                <w:szCs w:val="22"/>
              </w:rPr>
              <w:t>located at</w:t>
            </w:r>
            <w:r w:rsidRPr="00654F7A">
              <w:rPr>
                <w:rFonts w:cs="Arial"/>
                <w:color w:val="auto"/>
                <w:sz w:val="22"/>
                <w:szCs w:val="22"/>
              </w:rPr>
              <w:t xml:space="preserve"> the new </w:t>
            </w:r>
            <w:r>
              <w:rPr>
                <w:rFonts w:cs="Arial"/>
                <w:color w:val="auto"/>
                <w:sz w:val="22"/>
                <w:szCs w:val="22"/>
              </w:rPr>
              <w:t xml:space="preserve">7000 </w:t>
            </w:r>
            <w:r w:rsidR="00B016A9">
              <w:rPr>
                <w:rFonts w:cs="Arial"/>
                <w:color w:val="auto"/>
                <w:sz w:val="22"/>
                <w:szCs w:val="22"/>
              </w:rPr>
              <w:t>sq.</w:t>
            </w:r>
            <w:r>
              <w:rPr>
                <w:rFonts w:cs="Arial"/>
                <w:color w:val="auto"/>
                <w:sz w:val="22"/>
                <w:szCs w:val="22"/>
              </w:rPr>
              <w:t xml:space="preserve"> Mtr </w:t>
            </w:r>
            <w:r w:rsidRPr="00654F7A">
              <w:rPr>
                <w:rFonts w:cs="Arial"/>
                <w:color w:val="auto"/>
                <w:sz w:val="22"/>
                <w:szCs w:val="22"/>
              </w:rPr>
              <w:t xml:space="preserve">facility alongside the Medical Physics &amp; Bioengineering team. </w:t>
            </w:r>
            <w:r>
              <w:rPr>
                <w:rFonts w:cs="Arial"/>
                <w:color w:val="auto"/>
                <w:sz w:val="22"/>
                <w:szCs w:val="22"/>
              </w:rPr>
              <w:t>The new centre opened in May 2024.</w:t>
            </w:r>
            <w:r w:rsidR="00E908F8">
              <w:rPr>
                <w:rFonts w:cs="Arial"/>
                <w:color w:val="auto"/>
                <w:sz w:val="22"/>
                <w:szCs w:val="22"/>
              </w:rPr>
              <w:t xml:space="preserve"> </w:t>
            </w:r>
          </w:p>
          <w:p w14:paraId="03B11C8A" w14:textId="77777777" w:rsidR="00654F7A" w:rsidRDefault="00654F7A" w:rsidP="000A1938">
            <w:pPr>
              <w:spacing w:after="0" w:line="240" w:lineRule="auto"/>
              <w:contextualSpacing/>
              <w:textboxTightWrap w:val="none"/>
              <w:rPr>
                <w:rFonts w:cs="Arial"/>
                <w:color w:val="auto"/>
                <w:sz w:val="22"/>
                <w:szCs w:val="22"/>
              </w:rPr>
            </w:pPr>
          </w:p>
          <w:p w14:paraId="787D3BE5" w14:textId="07BBFC47" w:rsidR="000A1938" w:rsidRDefault="000A1938" w:rsidP="000A1938">
            <w:pPr>
              <w:spacing w:after="0" w:line="240" w:lineRule="auto"/>
              <w:contextualSpacing/>
              <w:textboxTightWrap w:val="none"/>
              <w:rPr>
                <w:rFonts w:cs="Arial"/>
                <w:color w:val="auto"/>
                <w:sz w:val="22"/>
                <w:szCs w:val="22"/>
              </w:rPr>
            </w:pPr>
            <w:r w:rsidRPr="000A1938">
              <w:rPr>
                <w:rFonts w:cs="Arial"/>
                <w:b/>
                <w:bCs/>
                <w:color w:val="auto"/>
                <w:sz w:val="22"/>
                <w:szCs w:val="22"/>
              </w:rPr>
              <w:t xml:space="preserve">Electronic Patient Record (EPR): </w:t>
            </w:r>
            <w:r w:rsidRPr="000A1938">
              <w:rPr>
                <w:rFonts w:cs="Arial"/>
                <w:color w:val="auto"/>
                <w:sz w:val="22"/>
                <w:szCs w:val="22"/>
              </w:rPr>
              <w:t>As part of the frontline digitisation programme, EPR will ensure a baseline level of digital capability in all system organisations, ensuring health and care staff have access to health-related information when and where it is needed. Enabling BSW’s new Model of Care by providing a single EPR across the three acute Trusts supporting new care designs such as virtual wards (cross-Trust clinical teams managing patients at home with real-time access to medications prescribing, test requesting and clinical data viewing) and enhanced clinics (an outpatient clinic could extend to 7-days a week). This will support improved clinical outcomes and efficiencies within and across the system (e.g., standardising order sets for hip replacements resulting in more equitable outcomes for patients whichever Trust they attend; enabling work to move across Trusts.</w:t>
            </w:r>
          </w:p>
          <w:p w14:paraId="36D717A6" w14:textId="77777777" w:rsidR="00AD43E2" w:rsidRDefault="00AD43E2" w:rsidP="000A1938">
            <w:pPr>
              <w:spacing w:after="0" w:line="240" w:lineRule="auto"/>
              <w:contextualSpacing/>
              <w:textboxTightWrap w:val="none"/>
              <w:rPr>
                <w:rFonts w:cs="Arial"/>
                <w:color w:val="auto"/>
                <w:sz w:val="22"/>
                <w:szCs w:val="22"/>
              </w:rPr>
            </w:pPr>
          </w:p>
          <w:p w14:paraId="381951AB" w14:textId="47A7E60A" w:rsidR="006A6BF2" w:rsidRDefault="0009771A" w:rsidP="006A6BF2">
            <w:pPr>
              <w:spacing w:after="0" w:line="240" w:lineRule="auto"/>
              <w:contextualSpacing/>
              <w:textboxTightWrap w:val="none"/>
              <w:rPr>
                <w:rFonts w:cs="Arial"/>
                <w:color w:val="auto"/>
                <w:sz w:val="22"/>
                <w:szCs w:val="22"/>
              </w:rPr>
            </w:pPr>
            <w:r w:rsidRPr="0009771A">
              <w:rPr>
                <w:rFonts w:cs="Arial"/>
                <w:b/>
                <w:bCs/>
                <w:color w:val="auto"/>
                <w:sz w:val="22"/>
                <w:szCs w:val="22"/>
              </w:rPr>
              <w:t>Great Western Hospital’s Integrated Front Door (IFD)</w:t>
            </w:r>
            <w:r w:rsidR="00654F7A">
              <w:rPr>
                <w:rFonts w:cs="Arial"/>
                <w:color w:val="auto"/>
                <w:sz w:val="22"/>
                <w:szCs w:val="22"/>
              </w:rPr>
              <w:t xml:space="preserve">: As part of the </w:t>
            </w:r>
            <w:r w:rsidR="00B03EA0">
              <w:rPr>
                <w:rFonts w:cs="Arial"/>
                <w:color w:val="auto"/>
                <w:sz w:val="22"/>
                <w:szCs w:val="22"/>
              </w:rPr>
              <w:t xml:space="preserve">national </w:t>
            </w:r>
            <w:r w:rsidR="00654F7A">
              <w:rPr>
                <w:rFonts w:cs="Arial"/>
                <w:color w:val="auto"/>
                <w:sz w:val="22"/>
                <w:szCs w:val="22"/>
              </w:rPr>
              <w:t>e</w:t>
            </w:r>
            <w:r w:rsidR="00654F7A" w:rsidRPr="00654F7A">
              <w:rPr>
                <w:rFonts w:cs="Arial"/>
                <w:color w:val="auto"/>
                <w:sz w:val="22"/>
                <w:szCs w:val="22"/>
              </w:rPr>
              <w:t>xpansion and reconfiguration of U</w:t>
            </w:r>
            <w:r w:rsidR="00654F7A">
              <w:rPr>
                <w:rFonts w:cs="Arial"/>
                <w:color w:val="auto"/>
                <w:sz w:val="22"/>
                <w:szCs w:val="22"/>
              </w:rPr>
              <w:t xml:space="preserve">rgent </w:t>
            </w:r>
            <w:r w:rsidR="00654F7A" w:rsidRPr="00654F7A">
              <w:rPr>
                <w:rFonts w:cs="Arial"/>
                <w:color w:val="auto"/>
                <w:sz w:val="22"/>
                <w:szCs w:val="22"/>
              </w:rPr>
              <w:t>E</w:t>
            </w:r>
            <w:r w:rsidR="00654F7A">
              <w:rPr>
                <w:rFonts w:cs="Arial"/>
                <w:color w:val="auto"/>
                <w:sz w:val="22"/>
                <w:szCs w:val="22"/>
              </w:rPr>
              <w:t xml:space="preserve">mergency </w:t>
            </w:r>
            <w:r w:rsidR="00654F7A" w:rsidRPr="00654F7A">
              <w:rPr>
                <w:rFonts w:cs="Arial"/>
                <w:color w:val="auto"/>
                <w:sz w:val="22"/>
                <w:szCs w:val="22"/>
              </w:rPr>
              <w:t>C</w:t>
            </w:r>
            <w:r w:rsidR="00654F7A">
              <w:rPr>
                <w:rFonts w:cs="Arial"/>
                <w:color w:val="auto"/>
                <w:sz w:val="22"/>
                <w:szCs w:val="22"/>
              </w:rPr>
              <w:t>are (UEC)</w:t>
            </w:r>
            <w:r w:rsidR="00654F7A" w:rsidRPr="00654F7A">
              <w:rPr>
                <w:rFonts w:cs="Arial"/>
                <w:color w:val="auto"/>
                <w:sz w:val="22"/>
                <w:szCs w:val="22"/>
              </w:rPr>
              <w:t xml:space="preserve"> front door</w:t>
            </w:r>
            <w:r w:rsidR="00654F7A">
              <w:rPr>
                <w:rFonts w:cs="Arial"/>
                <w:color w:val="auto"/>
                <w:sz w:val="22"/>
                <w:szCs w:val="22"/>
              </w:rPr>
              <w:t xml:space="preserve"> will see the</w:t>
            </w:r>
            <w:r w:rsidR="00654F7A" w:rsidRPr="00654F7A">
              <w:rPr>
                <w:rFonts w:cs="Arial"/>
                <w:color w:val="auto"/>
                <w:sz w:val="22"/>
                <w:szCs w:val="22"/>
              </w:rPr>
              <w:t xml:space="preserve"> co-locati</w:t>
            </w:r>
            <w:r w:rsidR="00654F7A">
              <w:rPr>
                <w:rFonts w:cs="Arial"/>
                <w:color w:val="auto"/>
                <w:sz w:val="22"/>
                <w:szCs w:val="22"/>
              </w:rPr>
              <w:t xml:space="preserve">on of </w:t>
            </w:r>
            <w:r w:rsidR="00654F7A" w:rsidRPr="00654F7A">
              <w:rPr>
                <w:rFonts w:cs="Arial"/>
                <w:color w:val="auto"/>
                <w:sz w:val="22"/>
                <w:szCs w:val="22"/>
              </w:rPr>
              <w:t>UEC services on ground floor</w:t>
            </w:r>
            <w:r w:rsidR="00654F7A">
              <w:rPr>
                <w:rFonts w:cs="Arial"/>
                <w:color w:val="auto"/>
                <w:sz w:val="22"/>
                <w:szCs w:val="22"/>
              </w:rPr>
              <w:t xml:space="preserve"> of the GWH site. This will i</w:t>
            </w:r>
            <w:r w:rsidR="00654F7A" w:rsidRPr="00654F7A">
              <w:rPr>
                <w:rFonts w:cs="Arial"/>
                <w:color w:val="auto"/>
                <w:sz w:val="22"/>
                <w:szCs w:val="22"/>
              </w:rPr>
              <w:t>ncreas</w:t>
            </w:r>
            <w:r w:rsidR="00654F7A">
              <w:rPr>
                <w:rFonts w:cs="Arial"/>
                <w:color w:val="auto"/>
                <w:sz w:val="22"/>
                <w:szCs w:val="22"/>
              </w:rPr>
              <w:t>e</w:t>
            </w:r>
            <w:r w:rsidR="00654F7A" w:rsidRPr="00654F7A">
              <w:rPr>
                <w:rFonts w:cs="Arial"/>
                <w:color w:val="auto"/>
                <w:sz w:val="22"/>
                <w:szCs w:val="22"/>
              </w:rPr>
              <w:t xml:space="preserve"> bedded capacity on children’s ward</w:t>
            </w:r>
            <w:r w:rsidR="00654F7A">
              <w:rPr>
                <w:rFonts w:cs="Arial"/>
                <w:color w:val="auto"/>
                <w:sz w:val="22"/>
                <w:szCs w:val="22"/>
              </w:rPr>
              <w:t xml:space="preserve"> by 8 inpatient beds and will ai</w:t>
            </w:r>
            <w:r w:rsidR="00654F7A" w:rsidRPr="00654F7A">
              <w:rPr>
                <w:rFonts w:cs="Arial"/>
                <w:color w:val="auto"/>
                <w:sz w:val="22"/>
                <w:szCs w:val="22"/>
              </w:rPr>
              <w:t xml:space="preserve">m to reduce adult admissions as more </w:t>
            </w:r>
            <w:r w:rsidR="00654F7A">
              <w:rPr>
                <w:rFonts w:cs="Arial"/>
                <w:color w:val="auto"/>
                <w:sz w:val="22"/>
                <w:szCs w:val="22"/>
              </w:rPr>
              <w:t xml:space="preserve">patients are </w:t>
            </w:r>
            <w:r w:rsidR="00654F7A" w:rsidRPr="00654F7A">
              <w:rPr>
                <w:rFonts w:cs="Arial"/>
                <w:color w:val="auto"/>
                <w:sz w:val="22"/>
                <w:szCs w:val="22"/>
              </w:rPr>
              <w:t>treated on the day. </w:t>
            </w:r>
            <w:r w:rsidR="006A6BF2" w:rsidRPr="006A6BF2">
              <w:rPr>
                <w:rFonts w:cs="Arial"/>
                <w:color w:val="auto"/>
                <w:sz w:val="22"/>
                <w:szCs w:val="22"/>
              </w:rPr>
              <w:t xml:space="preserve">The Integrated Front Door (IFD) project includes the construction of a new build Emergency Department, and the reconfiguration of existing space to create a standalone Children’s Emergency Unit. Further reconfiguration works will take place on completion of the new build ED, in the ‘vacated’ Emergency Department, to create a Medical Assessment Unit (including SDEC). This multi-year scheme implements the new IFD Clinical Model, which promotes a system approach to UEC, integrating primary care, community services, social </w:t>
            </w:r>
            <w:r w:rsidR="00114382" w:rsidRPr="006A6BF2">
              <w:rPr>
                <w:rFonts w:cs="Arial"/>
                <w:color w:val="auto"/>
                <w:sz w:val="22"/>
                <w:szCs w:val="22"/>
              </w:rPr>
              <w:t>care,</w:t>
            </w:r>
            <w:r w:rsidR="006A6BF2" w:rsidRPr="006A6BF2">
              <w:rPr>
                <w:rFonts w:cs="Arial"/>
                <w:color w:val="auto"/>
                <w:sz w:val="22"/>
                <w:szCs w:val="22"/>
              </w:rPr>
              <w:t xml:space="preserve"> and secondary care services. This model aims to ensure that patients requiring Urgent &amp; Emergency Care (UEC) are seen promptly in the most appropriate service for their needs. The new IFD space, together with the recently completed Urgent Treatment Centre, co-locates the majority of UEC services to support much-improved patient flow, in an enhanced, expanded and fit for purpose environment. Latest technology has been included in the building to facilitate rapid assessment and robust care pathways, and the new build utilises ‘green’ net zero carbon systems for utilities support. As well as better siting ‘Front Door’ services, the resulting pathway efficiencies will support a reduction in inpatient admissions, thereby increasing inpatient acute bed capacity.</w:t>
            </w:r>
            <w:r w:rsidR="00EF6DCD">
              <w:rPr>
                <w:rFonts w:cs="Arial"/>
                <w:color w:val="auto"/>
                <w:sz w:val="22"/>
                <w:szCs w:val="22"/>
              </w:rPr>
              <w:t xml:space="preserve"> </w:t>
            </w:r>
            <w:r w:rsidR="00EF6DCD" w:rsidRPr="00EF6DCD">
              <w:rPr>
                <w:rFonts w:cs="Arial"/>
                <w:color w:val="auto"/>
                <w:sz w:val="22"/>
                <w:szCs w:val="22"/>
              </w:rPr>
              <w:t>The initiative is due to be completed in the summer of this year (2024).</w:t>
            </w:r>
          </w:p>
          <w:p w14:paraId="57DB138A" w14:textId="77777777" w:rsidR="006A6BF2" w:rsidRDefault="006A6BF2" w:rsidP="00EA7727">
            <w:pPr>
              <w:spacing w:after="0" w:line="240" w:lineRule="auto"/>
              <w:contextualSpacing/>
              <w:textboxTightWrap w:val="none"/>
              <w:rPr>
                <w:rFonts w:cs="Arial"/>
                <w:color w:val="auto"/>
                <w:sz w:val="22"/>
                <w:szCs w:val="22"/>
              </w:rPr>
            </w:pPr>
          </w:p>
          <w:p w14:paraId="4FC7E639" w14:textId="77777777" w:rsidR="00EA7727" w:rsidRDefault="00EA7727" w:rsidP="00EA7727">
            <w:pPr>
              <w:spacing w:after="0" w:line="240" w:lineRule="auto"/>
              <w:contextualSpacing/>
              <w:textboxTightWrap w:val="none"/>
              <w:rPr>
                <w:rFonts w:cs="Arial"/>
                <w:i/>
                <w:iCs/>
                <w:color w:val="auto"/>
                <w:sz w:val="22"/>
                <w:szCs w:val="22"/>
              </w:rPr>
            </w:pPr>
          </w:p>
          <w:p w14:paraId="29E62F7B" w14:textId="7B851CC0" w:rsidR="00EA7727" w:rsidRDefault="00EA7727" w:rsidP="00654F7A">
            <w:pPr>
              <w:spacing w:after="0" w:line="240" w:lineRule="auto"/>
              <w:rPr>
                <w:rFonts w:cs="Arial"/>
                <w:color w:val="auto"/>
                <w:sz w:val="22"/>
                <w:szCs w:val="22"/>
              </w:rPr>
            </w:pPr>
            <w:r w:rsidRPr="00654F7A">
              <w:rPr>
                <w:rFonts w:cs="Arial"/>
                <w:b/>
                <w:bCs/>
                <w:color w:val="auto"/>
                <w:sz w:val="22"/>
                <w:szCs w:val="22"/>
              </w:rPr>
              <w:lastRenderedPageBreak/>
              <w:t>Sulis Elective Orthopaedic Centre (SEOC)</w:t>
            </w:r>
            <w:r w:rsidR="00654F7A" w:rsidRPr="00654F7A">
              <w:rPr>
                <w:rFonts w:cs="Arial"/>
                <w:color w:val="auto"/>
                <w:sz w:val="22"/>
                <w:szCs w:val="22"/>
              </w:rPr>
              <w:t>:</w:t>
            </w:r>
            <w:r w:rsidR="00654F7A">
              <w:rPr>
                <w:rFonts w:cs="Arial"/>
                <w:color w:val="auto"/>
                <w:sz w:val="22"/>
                <w:szCs w:val="22"/>
              </w:rPr>
              <w:t xml:space="preserve"> </w:t>
            </w:r>
            <w:r w:rsidRPr="00F45560">
              <w:rPr>
                <w:rFonts w:cs="Arial"/>
                <w:color w:val="auto"/>
                <w:sz w:val="22"/>
                <w:szCs w:val="22"/>
              </w:rPr>
              <w:t xml:space="preserve">Planning Permission is secured for the development of a </w:t>
            </w:r>
            <w:r w:rsidR="005B37DA" w:rsidRPr="00F45560">
              <w:rPr>
                <w:rFonts w:cs="Arial"/>
                <w:color w:val="auto"/>
                <w:sz w:val="22"/>
                <w:szCs w:val="22"/>
              </w:rPr>
              <w:t>two-theatre</w:t>
            </w:r>
            <w:r w:rsidRPr="00F45560">
              <w:rPr>
                <w:rFonts w:cs="Arial"/>
                <w:color w:val="auto"/>
                <w:sz w:val="22"/>
                <w:szCs w:val="22"/>
              </w:rPr>
              <w:t xml:space="preserve"> orthopaedic surgical hub at Sulis Hospital, Bath, with </w:t>
            </w:r>
            <w:r w:rsidR="000A1938">
              <w:rPr>
                <w:rFonts w:cs="Arial"/>
                <w:color w:val="auto"/>
                <w:sz w:val="22"/>
                <w:szCs w:val="22"/>
              </w:rPr>
              <w:t>construction underway (initiated in</w:t>
            </w:r>
            <w:r w:rsidRPr="00F45560">
              <w:rPr>
                <w:rFonts w:cs="Arial"/>
                <w:color w:val="auto"/>
                <w:sz w:val="22"/>
                <w:szCs w:val="22"/>
              </w:rPr>
              <w:t xml:space="preserve"> March/ April 24</w:t>
            </w:r>
            <w:r w:rsidR="000A1938">
              <w:rPr>
                <w:rFonts w:cs="Arial"/>
                <w:color w:val="auto"/>
                <w:sz w:val="22"/>
                <w:szCs w:val="22"/>
              </w:rPr>
              <w:t>)</w:t>
            </w:r>
            <w:r w:rsidRPr="00F45560">
              <w:rPr>
                <w:rFonts w:cs="Arial"/>
                <w:color w:val="auto"/>
                <w:sz w:val="22"/>
                <w:szCs w:val="22"/>
              </w:rPr>
              <w:t xml:space="preserve">. This is in response to the challenging waiting times with £25m funding being secured from national Targeted Investment Funds to support Elective Recovery. There is an allocation of £20m capital funding in 24/25. The new building is set to be operational during December </w:t>
            </w:r>
            <w:r w:rsidR="000A1938">
              <w:rPr>
                <w:rFonts w:cs="Arial"/>
                <w:color w:val="auto"/>
                <w:sz w:val="22"/>
                <w:szCs w:val="22"/>
              </w:rPr>
              <w:t>20</w:t>
            </w:r>
            <w:r w:rsidRPr="00F45560">
              <w:rPr>
                <w:rFonts w:cs="Arial"/>
                <w:color w:val="auto"/>
                <w:sz w:val="22"/>
                <w:szCs w:val="22"/>
              </w:rPr>
              <w:t xml:space="preserve">24 with additional lamina flow conversion works happening in early </w:t>
            </w:r>
            <w:r w:rsidR="000A1938">
              <w:rPr>
                <w:rFonts w:cs="Arial"/>
                <w:color w:val="auto"/>
                <w:sz w:val="22"/>
                <w:szCs w:val="22"/>
              </w:rPr>
              <w:t>20</w:t>
            </w:r>
            <w:r w:rsidRPr="00F45560">
              <w:rPr>
                <w:rFonts w:cs="Arial"/>
                <w:color w:val="auto"/>
                <w:sz w:val="22"/>
                <w:szCs w:val="22"/>
              </w:rPr>
              <w:t>25, to further expand our orthopaedic capacity. An additional 3</w:t>
            </w:r>
            <w:r w:rsidR="00A72444">
              <w:rPr>
                <w:rFonts w:cs="Arial"/>
                <w:color w:val="auto"/>
                <w:sz w:val="22"/>
                <w:szCs w:val="22"/>
              </w:rPr>
              <w:t>,</w:t>
            </w:r>
            <w:r w:rsidRPr="00F45560">
              <w:rPr>
                <w:rFonts w:cs="Arial"/>
                <w:color w:val="auto"/>
                <w:sz w:val="22"/>
                <w:szCs w:val="22"/>
              </w:rPr>
              <w:t>750 orthopaedic cases are set to be delivered through this expansion along with the setup of Sulis as a surgical hub</w:t>
            </w:r>
            <w:r w:rsidR="00114382" w:rsidRPr="00F45560">
              <w:rPr>
                <w:rFonts w:cs="Arial"/>
                <w:color w:val="auto"/>
                <w:sz w:val="22"/>
                <w:szCs w:val="22"/>
              </w:rPr>
              <w:t xml:space="preserve">. </w:t>
            </w:r>
          </w:p>
          <w:p w14:paraId="2195D77B" w14:textId="77777777" w:rsidR="00EA21B6" w:rsidRDefault="00EA21B6" w:rsidP="00654F7A">
            <w:pPr>
              <w:spacing w:after="0" w:line="240" w:lineRule="auto"/>
              <w:rPr>
                <w:rFonts w:cs="Arial"/>
                <w:color w:val="auto"/>
                <w:sz w:val="22"/>
                <w:szCs w:val="22"/>
              </w:rPr>
            </w:pPr>
          </w:p>
          <w:p w14:paraId="1FC5F082" w14:textId="083EBD37" w:rsidR="00A72444" w:rsidRPr="00B91191" w:rsidRDefault="00A72444" w:rsidP="00100E42">
            <w:pPr>
              <w:spacing w:after="0" w:line="240" w:lineRule="auto"/>
              <w:contextualSpacing/>
              <w:textboxTightWrap w:val="none"/>
              <w:rPr>
                <w:rFonts w:cs="Arial"/>
                <w:b/>
                <w:bCs/>
                <w:color w:val="auto"/>
                <w:sz w:val="22"/>
                <w:szCs w:val="22"/>
              </w:rPr>
            </w:pPr>
            <w:r w:rsidRPr="00B91191">
              <w:rPr>
                <w:rFonts w:cs="Arial"/>
                <w:b/>
                <w:bCs/>
                <w:color w:val="auto"/>
                <w:sz w:val="22"/>
                <w:szCs w:val="22"/>
              </w:rPr>
              <w:t xml:space="preserve">LDA Facility </w:t>
            </w:r>
          </w:p>
          <w:p w14:paraId="0F77FA20" w14:textId="3E5EE146" w:rsidR="002A670A" w:rsidRPr="002A670A" w:rsidRDefault="002A670A" w:rsidP="002A670A">
            <w:pPr>
              <w:spacing w:after="0" w:line="240" w:lineRule="auto"/>
              <w:contextualSpacing/>
              <w:textboxTightWrap w:val="none"/>
              <w:rPr>
                <w:rFonts w:cs="Arial"/>
                <w:color w:val="auto"/>
                <w:sz w:val="22"/>
                <w:szCs w:val="22"/>
              </w:rPr>
            </w:pPr>
            <w:r w:rsidRPr="002A670A">
              <w:rPr>
                <w:rFonts w:cs="Arial"/>
                <w:color w:val="auto"/>
                <w:sz w:val="22"/>
                <w:szCs w:val="22"/>
              </w:rPr>
              <w:t xml:space="preserve">The new facility, which </w:t>
            </w:r>
            <w:r w:rsidR="00E908F8">
              <w:rPr>
                <w:rFonts w:cs="Arial"/>
                <w:color w:val="auto"/>
                <w:sz w:val="22"/>
                <w:szCs w:val="22"/>
              </w:rPr>
              <w:t xml:space="preserve">BSW are lead commissioners for on behalf of North </w:t>
            </w:r>
            <w:proofErr w:type="spellStart"/>
            <w:r w:rsidR="00E908F8">
              <w:rPr>
                <w:rFonts w:cs="Arial"/>
                <w:color w:val="auto"/>
                <w:sz w:val="22"/>
                <w:szCs w:val="22"/>
              </w:rPr>
              <w:t>fo</w:t>
            </w:r>
            <w:proofErr w:type="spellEnd"/>
            <w:r w:rsidR="00E908F8">
              <w:rPr>
                <w:rFonts w:cs="Arial"/>
                <w:color w:val="auto"/>
                <w:sz w:val="22"/>
                <w:szCs w:val="22"/>
              </w:rPr>
              <w:t xml:space="preserve"> the Region, and working intra ICB </w:t>
            </w:r>
            <w:r w:rsidRPr="002A670A">
              <w:rPr>
                <w:rFonts w:cs="Arial"/>
                <w:color w:val="auto"/>
                <w:sz w:val="22"/>
                <w:szCs w:val="22"/>
              </w:rPr>
              <w:t xml:space="preserve">will be a regional facility supporting people across Bath, Bristol, Gloucestershire, </w:t>
            </w:r>
            <w:proofErr w:type="gramStart"/>
            <w:r w:rsidRPr="002A670A">
              <w:rPr>
                <w:rFonts w:cs="Arial"/>
                <w:color w:val="auto"/>
                <w:sz w:val="22"/>
                <w:szCs w:val="22"/>
              </w:rPr>
              <w:t>North East</w:t>
            </w:r>
            <w:proofErr w:type="gramEnd"/>
            <w:r w:rsidRPr="002A670A">
              <w:rPr>
                <w:rFonts w:cs="Arial"/>
                <w:color w:val="auto"/>
                <w:sz w:val="22"/>
                <w:szCs w:val="22"/>
              </w:rPr>
              <w:t xml:space="preserve"> Somerset, North Somerset, South Gloucestershire, Swindon and Wiltshire. Currently, around 50-60% of people with a learning disability and autistic people must be placed outside of the region when they require specialist inpatient care and treatment because we do not have the facilities for them locally. This is often a significant distance away from home and is unacceptable. This facility will provide specialist inpatient care for this group of patients closer to home, relieving stress for both patients and their families, </w:t>
            </w:r>
            <w:r w:rsidR="00C60709" w:rsidRPr="002A670A">
              <w:rPr>
                <w:rFonts w:cs="Arial"/>
                <w:color w:val="auto"/>
                <w:sz w:val="22"/>
                <w:szCs w:val="22"/>
              </w:rPr>
              <w:t>carers,</w:t>
            </w:r>
            <w:r w:rsidRPr="002A670A">
              <w:rPr>
                <w:rFonts w:cs="Arial"/>
                <w:color w:val="auto"/>
                <w:sz w:val="22"/>
                <w:szCs w:val="22"/>
              </w:rPr>
              <w:t xml:space="preserve"> and </w:t>
            </w:r>
            <w:r w:rsidR="002417D4" w:rsidRPr="002A670A">
              <w:rPr>
                <w:rFonts w:cs="Arial"/>
                <w:color w:val="auto"/>
                <w:sz w:val="22"/>
                <w:szCs w:val="22"/>
              </w:rPr>
              <w:t>supporters.</w:t>
            </w:r>
          </w:p>
          <w:p w14:paraId="08C35FB7" w14:textId="7C72D44B" w:rsidR="002A670A" w:rsidRPr="002A670A" w:rsidRDefault="002A670A" w:rsidP="002A670A">
            <w:pPr>
              <w:spacing w:after="0" w:line="240" w:lineRule="auto"/>
              <w:contextualSpacing/>
              <w:textboxTightWrap w:val="none"/>
              <w:rPr>
                <w:rFonts w:cs="Arial"/>
                <w:color w:val="auto"/>
                <w:sz w:val="22"/>
                <w:szCs w:val="22"/>
              </w:rPr>
            </w:pPr>
            <w:r w:rsidRPr="002A670A">
              <w:rPr>
                <w:rFonts w:cs="Arial"/>
                <w:color w:val="auto"/>
                <w:sz w:val="22"/>
                <w:szCs w:val="22"/>
              </w:rPr>
              <w:t xml:space="preserve">The facility is being designed with input from service users, people with a lived experience, and their families and carers and will provide specialist mental health care for people with a learning disability and autistic people which </w:t>
            </w:r>
            <w:r w:rsidR="00433894" w:rsidRPr="002A670A">
              <w:rPr>
                <w:rFonts w:cs="Arial"/>
                <w:color w:val="auto"/>
                <w:sz w:val="22"/>
                <w:szCs w:val="22"/>
              </w:rPr>
              <w:t>cannot</w:t>
            </w:r>
            <w:r w:rsidRPr="002A670A">
              <w:rPr>
                <w:rFonts w:cs="Arial"/>
                <w:color w:val="auto"/>
                <w:sz w:val="22"/>
                <w:szCs w:val="22"/>
              </w:rPr>
              <w:t xml:space="preserve"> be provided at home or in another mainstream hospital. We know that an inpatient facility is not a single solution to support local people, and we will be reviewing and transforming existing community services for people with a learning disability and autistic people. This will ensure that, in most cases, people can continue to live independently at home.</w:t>
            </w:r>
          </w:p>
          <w:p w14:paraId="7BA7B622" w14:textId="18D88654" w:rsidR="00A72444" w:rsidRPr="00100E42" w:rsidRDefault="00A72444" w:rsidP="007C5A89">
            <w:pPr>
              <w:spacing w:after="0" w:line="240" w:lineRule="auto"/>
              <w:contextualSpacing/>
              <w:textboxTightWrap w:val="none"/>
              <w:rPr>
                <w:rFonts w:cs="Arial"/>
                <w:color w:val="auto"/>
                <w:sz w:val="22"/>
                <w:szCs w:val="22"/>
              </w:rPr>
            </w:pPr>
          </w:p>
        </w:tc>
      </w:tr>
    </w:tbl>
    <w:p w14:paraId="51A43F17" w14:textId="77777777" w:rsidR="00351976" w:rsidRDefault="00351976" w:rsidP="00351976">
      <w:pPr>
        <w:rPr>
          <w:rFonts w:cs="Arial"/>
          <w:b/>
          <w:bCs/>
          <w:color w:val="auto"/>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86"/>
      </w:tblGrid>
      <w:tr w:rsidR="00351976" w:rsidRPr="00DE2C6E" w14:paraId="3C4CB9F8" w14:textId="77777777" w:rsidTr="00100E42">
        <w:trPr>
          <w:trHeight w:val="605"/>
        </w:trPr>
        <w:tc>
          <w:tcPr>
            <w:tcW w:w="5000" w:type="pct"/>
            <w:shd w:val="clear" w:color="auto" w:fill="0070C0"/>
            <w:vAlign w:val="center"/>
          </w:tcPr>
          <w:p w14:paraId="251546E0" w14:textId="77777777" w:rsidR="00351976" w:rsidRPr="00DE2C6E" w:rsidRDefault="00351976" w:rsidP="003706A4">
            <w:pPr>
              <w:rPr>
                <w:rFonts w:cs="Arial"/>
                <w:i/>
                <w:iCs/>
                <w:color w:val="000000" w:themeColor="text1"/>
                <w:sz w:val="18"/>
                <w:szCs w:val="18"/>
              </w:rPr>
            </w:pPr>
            <w:r w:rsidRPr="00351976">
              <w:rPr>
                <w:rFonts w:cs="Arial"/>
                <w:b/>
                <w:bCs/>
                <w:color w:val="FFFFFF" w:themeColor="background1"/>
              </w:rPr>
              <w:t>Risks and contingencies</w:t>
            </w:r>
          </w:p>
        </w:tc>
      </w:tr>
      <w:tr w:rsidR="00351976" w:rsidRPr="00DE2C6E" w14:paraId="36134DB1" w14:textId="77777777" w:rsidTr="00100E42">
        <w:trPr>
          <w:trHeight w:val="1654"/>
        </w:trPr>
        <w:tc>
          <w:tcPr>
            <w:tcW w:w="5000" w:type="pct"/>
            <w:shd w:val="clear" w:color="auto" w:fill="auto"/>
          </w:tcPr>
          <w:p w14:paraId="77FC407D" w14:textId="77777777" w:rsidR="000A52E6" w:rsidRDefault="000A52E6" w:rsidP="000A52E6">
            <w:pPr>
              <w:spacing w:after="0" w:line="240" w:lineRule="auto"/>
              <w:contextualSpacing/>
              <w:textboxTightWrap w:val="none"/>
              <w:rPr>
                <w:rFonts w:cs="Arial"/>
                <w:color w:val="auto"/>
                <w:sz w:val="22"/>
                <w:szCs w:val="22"/>
              </w:rPr>
            </w:pPr>
          </w:p>
          <w:p w14:paraId="1FCDE66B" w14:textId="77777777" w:rsidR="000A52E6" w:rsidRPr="00AF0A78" w:rsidRDefault="000A52E6" w:rsidP="000A52E6">
            <w:pPr>
              <w:spacing w:after="0" w:line="240" w:lineRule="auto"/>
              <w:contextualSpacing/>
              <w:textboxTightWrap w:val="none"/>
              <w:rPr>
                <w:rFonts w:cs="Arial"/>
                <w:color w:val="auto"/>
                <w:sz w:val="22"/>
                <w:szCs w:val="22"/>
              </w:rPr>
            </w:pPr>
            <w:r w:rsidRPr="00AF0A78">
              <w:rPr>
                <w:rFonts w:cs="Arial"/>
                <w:color w:val="auto"/>
                <w:sz w:val="22"/>
                <w:szCs w:val="22"/>
              </w:rPr>
              <w:t xml:space="preserve">The system has reviewed risks relating to the capital programme and has summarised them as outlined below. </w:t>
            </w:r>
          </w:p>
          <w:p w14:paraId="60A13A18" w14:textId="77777777" w:rsidR="00F165E3" w:rsidRPr="00AF0A78" w:rsidRDefault="00F165E3" w:rsidP="000A52E6">
            <w:pPr>
              <w:spacing w:after="0" w:line="240" w:lineRule="auto"/>
              <w:contextualSpacing/>
              <w:textboxTightWrap w:val="none"/>
              <w:rPr>
                <w:rFonts w:cs="Arial"/>
                <w:color w:val="auto"/>
                <w:sz w:val="22"/>
                <w:szCs w:val="22"/>
              </w:rPr>
            </w:pPr>
          </w:p>
          <w:p w14:paraId="2E67BB18" w14:textId="727C1C9E" w:rsidR="00F165E3" w:rsidRPr="00AF0A78" w:rsidRDefault="00F165E3" w:rsidP="00D00772">
            <w:pPr>
              <w:spacing w:after="0" w:line="240" w:lineRule="auto"/>
              <w:contextualSpacing/>
              <w:textboxTightWrap w:val="none"/>
              <w:rPr>
                <w:rFonts w:cs="Arial"/>
                <w:color w:val="auto"/>
                <w:sz w:val="22"/>
                <w:szCs w:val="22"/>
              </w:rPr>
            </w:pPr>
            <w:r w:rsidRPr="00AF0A78">
              <w:rPr>
                <w:rFonts w:cs="Arial"/>
                <w:color w:val="auto"/>
                <w:sz w:val="22"/>
                <w:szCs w:val="22"/>
              </w:rPr>
              <w:t xml:space="preserve">The key risk to BSW system is that the capped system capital allocation is a limited resource and the whole capital programme requires continuous prioritisation, </w:t>
            </w:r>
            <w:r w:rsidR="00114382" w:rsidRPr="00AF0A78">
              <w:rPr>
                <w:rFonts w:cs="Arial"/>
                <w:color w:val="auto"/>
                <w:sz w:val="22"/>
                <w:szCs w:val="22"/>
              </w:rPr>
              <w:t>review,</w:t>
            </w:r>
            <w:r w:rsidRPr="00AF0A78">
              <w:rPr>
                <w:rFonts w:cs="Arial"/>
                <w:color w:val="auto"/>
                <w:sz w:val="22"/>
                <w:szCs w:val="22"/>
              </w:rPr>
              <w:t xml:space="preserve"> and a reasonable level of mitigations to achieve a deliverable, safe plan to operate within the issued system allocation.</w:t>
            </w:r>
            <w:r w:rsidR="00D00772" w:rsidRPr="00AF0A78">
              <w:rPr>
                <w:rFonts w:cs="Arial"/>
                <w:color w:val="auto"/>
                <w:sz w:val="22"/>
                <w:szCs w:val="22"/>
              </w:rPr>
              <w:t xml:space="preserve"> The system partners have a good </w:t>
            </w:r>
            <w:r w:rsidR="009B58F7" w:rsidRPr="00AF0A78">
              <w:rPr>
                <w:rFonts w:cs="Arial"/>
                <w:color w:val="auto"/>
                <w:sz w:val="22"/>
                <w:szCs w:val="22"/>
              </w:rPr>
              <w:t>t</w:t>
            </w:r>
            <w:r w:rsidR="00D00772" w:rsidRPr="00AF0A78">
              <w:rPr>
                <w:rFonts w:cs="Arial"/>
                <w:color w:val="auto"/>
                <w:sz w:val="22"/>
                <w:szCs w:val="22"/>
              </w:rPr>
              <w:t>rack record of maximising the use of capital resources,</w:t>
            </w:r>
            <w:r w:rsidR="009B58F7" w:rsidRPr="00AF0A78">
              <w:rPr>
                <w:rFonts w:cs="Arial"/>
                <w:color w:val="auto"/>
                <w:sz w:val="22"/>
                <w:szCs w:val="22"/>
              </w:rPr>
              <w:t xml:space="preserve"> </w:t>
            </w:r>
            <w:r w:rsidR="00D00772" w:rsidRPr="00AF0A78">
              <w:rPr>
                <w:rFonts w:cs="Arial"/>
                <w:color w:val="auto"/>
                <w:sz w:val="22"/>
                <w:szCs w:val="22"/>
              </w:rPr>
              <w:t>with detailed monthly monitoring of the capital programme during the yea</w:t>
            </w:r>
            <w:r w:rsidR="003B3900" w:rsidRPr="00AF0A78">
              <w:rPr>
                <w:rFonts w:cs="Arial"/>
                <w:color w:val="auto"/>
                <w:sz w:val="22"/>
                <w:szCs w:val="22"/>
              </w:rPr>
              <w:t>r.</w:t>
            </w:r>
            <w:r w:rsidR="00AA6272" w:rsidRPr="00AF0A78">
              <w:rPr>
                <w:rFonts w:cs="Arial"/>
                <w:color w:val="auto"/>
                <w:sz w:val="22"/>
                <w:szCs w:val="22"/>
              </w:rPr>
              <w:t xml:space="preserve"> </w:t>
            </w:r>
          </w:p>
          <w:p w14:paraId="21AFC42B" w14:textId="77777777" w:rsidR="00433CB9" w:rsidRPr="00AF0A78" w:rsidRDefault="00433CB9" w:rsidP="00F165E3">
            <w:pPr>
              <w:spacing w:after="0" w:line="240" w:lineRule="auto"/>
              <w:contextualSpacing/>
              <w:textboxTightWrap w:val="none"/>
              <w:rPr>
                <w:rFonts w:cs="Arial"/>
                <w:color w:val="auto"/>
                <w:sz w:val="22"/>
                <w:szCs w:val="22"/>
              </w:rPr>
            </w:pPr>
          </w:p>
          <w:p w14:paraId="33584D8F" w14:textId="0E122884" w:rsidR="00433CB9" w:rsidRPr="00AF0A78" w:rsidRDefault="00433CB9" w:rsidP="00433CB9">
            <w:pPr>
              <w:spacing w:after="0" w:line="240" w:lineRule="auto"/>
              <w:contextualSpacing/>
              <w:textboxTightWrap w:val="none"/>
              <w:rPr>
                <w:rFonts w:cs="Arial"/>
                <w:color w:val="auto"/>
                <w:sz w:val="22"/>
                <w:szCs w:val="22"/>
              </w:rPr>
            </w:pPr>
            <w:r w:rsidRPr="00AF0A78">
              <w:rPr>
                <w:rFonts w:cs="Arial"/>
                <w:color w:val="auto"/>
                <w:sz w:val="22"/>
                <w:szCs w:val="22"/>
              </w:rPr>
              <w:t>There are regular review meetings with system partners including programme boards, and</w:t>
            </w:r>
            <w:r w:rsidR="003B3900" w:rsidRPr="00AF0A78">
              <w:rPr>
                <w:rFonts w:cs="Arial"/>
                <w:color w:val="auto"/>
                <w:sz w:val="22"/>
                <w:szCs w:val="22"/>
              </w:rPr>
              <w:t xml:space="preserve"> </w:t>
            </w:r>
            <w:r w:rsidRPr="00AF0A78">
              <w:rPr>
                <w:rFonts w:cs="Arial"/>
                <w:color w:val="auto"/>
                <w:sz w:val="22"/>
                <w:szCs w:val="22"/>
              </w:rPr>
              <w:t>meetings with NHS England regional colleagues, to monitor overall progress, report risks and</w:t>
            </w:r>
            <w:r w:rsidR="003B3900" w:rsidRPr="00AF0A78">
              <w:rPr>
                <w:rFonts w:cs="Arial"/>
                <w:color w:val="auto"/>
                <w:sz w:val="22"/>
                <w:szCs w:val="22"/>
              </w:rPr>
              <w:t xml:space="preserve"> </w:t>
            </w:r>
            <w:r w:rsidRPr="00AF0A78">
              <w:rPr>
                <w:rFonts w:cs="Arial"/>
                <w:color w:val="auto"/>
                <w:sz w:val="22"/>
                <w:szCs w:val="22"/>
              </w:rPr>
              <w:t>assure process consistent with the financial duties and system oversight requirements.</w:t>
            </w:r>
          </w:p>
          <w:p w14:paraId="3A341515" w14:textId="77777777" w:rsidR="00433CB9" w:rsidRPr="00100E42" w:rsidRDefault="00433CB9" w:rsidP="00F165E3">
            <w:pPr>
              <w:spacing w:after="0" w:line="240" w:lineRule="auto"/>
              <w:contextualSpacing/>
              <w:textboxTightWrap w:val="none"/>
              <w:rPr>
                <w:rFonts w:cs="Arial"/>
                <w:color w:val="auto"/>
              </w:rPr>
            </w:pPr>
          </w:p>
          <w:p w14:paraId="390D5B22" w14:textId="77777777" w:rsidR="000A52E6" w:rsidRPr="00100E42" w:rsidRDefault="000A52E6" w:rsidP="000A52E6">
            <w:pPr>
              <w:spacing w:after="0" w:line="240" w:lineRule="auto"/>
              <w:contextualSpacing/>
              <w:textboxTightWrap w:val="none"/>
              <w:rPr>
                <w:rFonts w:cs="Arial"/>
                <w:color w:val="auto"/>
              </w:rPr>
            </w:pPr>
          </w:p>
          <w:p w14:paraId="506DED09" w14:textId="6907928E" w:rsidR="000A52E6" w:rsidRPr="00100E42" w:rsidRDefault="000A52E6" w:rsidP="000A52E6">
            <w:pPr>
              <w:spacing w:after="0" w:line="240" w:lineRule="auto"/>
              <w:contextualSpacing/>
              <w:textboxTightWrap w:val="none"/>
              <w:rPr>
                <w:rFonts w:cs="Arial"/>
                <w:color w:val="auto"/>
              </w:rPr>
            </w:pPr>
            <w:r w:rsidRPr="00100E42">
              <w:rPr>
                <w:rFonts w:cs="Arial"/>
                <w:b/>
                <w:bCs/>
                <w:color w:val="auto"/>
              </w:rPr>
              <w:t>System Planning and National Funding</w:t>
            </w:r>
            <w:r w:rsidRPr="00100E42">
              <w:rPr>
                <w:rFonts w:cs="Arial"/>
                <w:color w:val="auto"/>
              </w:rPr>
              <w:t xml:space="preserve"> - The system operational capital available is focused on delivering operational demands and is not sufficient to allow the progression of some of the key strategic developments that are considered priorities within BSW. We are reliant </w:t>
            </w:r>
            <w:r w:rsidRPr="00100E42">
              <w:rPr>
                <w:rFonts w:cs="Arial"/>
                <w:color w:val="auto"/>
              </w:rPr>
              <w:lastRenderedPageBreak/>
              <w:t>on securing funding through national funding sources and their related bidding processes which are generally over-committed and have challenging delivery timescales.</w:t>
            </w:r>
            <w:r w:rsidR="00AD43E2" w:rsidRPr="00100E42">
              <w:rPr>
                <w:rFonts w:cs="Arial"/>
                <w:color w:val="auto"/>
              </w:rPr>
              <w:t xml:space="preserve"> </w:t>
            </w:r>
          </w:p>
          <w:p w14:paraId="2BBCA809" w14:textId="77777777" w:rsidR="003A49B5" w:rsidRPr="00100E42" w:rsidRDefault="003A49B5" w:rsidP="000A52E6">
            <w:pPr>
              <w:spacing w:after="0" w:line="240" w:lineRule="auto"/>
              <w:contextualSpacing/>
              <w:textboxTightWrap w:val="none"/>
              <w:rPr>
                <w:rFonts w:cs="Arial"/>
                <w:color w:val="auto"/>
              </w:rPr>
            </w:pPr>
          </w:p>
          <w:p w14:paraId="2BA664C2" w14:textId="77777777" w:rsidR="000A52E6" w:rsidRPr="00100E42" w:rsidRDefault="000A52E6" w:rsidP="000A52E6">
            <w:pPr>
              <w:spacing w:after="0" w:line="240" w:lineRule="auto"/>
              <w:contextualSpacing/>
              <w:textboxTightWrap w:val="none"/>
              <w:rPr>
                <w:rFonts w:cs="Arial"/>
                <w:color w:val="auto"/>
              </w:rPr>
            </w:pPr>
            <w:r w:rsidRPr="00100E42">
              <w:rPr>
                <w:rFonts w:cs="Arial"/>
                <w:color w:val="auto"/>
              </w:rPr>
              <w:t xml:space="preserve">The ICB continues to work to support NHS provider trusts in BSW with their respective planning and profiling of nationally approved capital plans awaiting the next phase of national support or capital bids awaiting a national decision. </w:t>
            </w:r>
          </w:p>
          <w:p w14:paraId="6CD25FA2" w14:textId="77777777" w:rsidR="00B369F7" w:rsidRDefault="00B369F7" w:rsidP="000A52E6">
            <w:pPr>
              <w:spacing w:after="0" w:line="240" w:lineRule="auto"/>
              <w:contextualSpacing/>
              <w:textboxTightWrap w:val="none"/>
              <w:rPr>
                <w:rFonts w:cs="Arial"/>
                <w:color w:val="auto"/>
                <w:sz w:val="22"/>
                <w:szCs w:val="22"/>
              </w:rPr>
            </w:pPr>
          </w:p>
          <w:p w14:paraId="37EE4197" w14:textId="77777777" w:rsidR="00E5151B" w:rsidRPr="00100E42" w:rsidRDefault="00E5151B" w:rsidP="000A52E6">
            <w:pPr>
              <w:spacing w:after="0" w:line="240" w:lineRule="auto"/>
              <w:contextualSpacing/>
              <w:textboxTightWrap w:val="none"/>
              <w:rPr>
                <w:rFonts w:cs="Arial"/>
                <w:color w:val="auto"/>
              </w:rPr>
            </w:pPr>
          </w:p>
          <w:p w14:paraId="03765D1E" w14:textId="7E46188C" w:rsidR="00E5151B" w:rsidRPr="00100E42" w:rsidRDefault="00E5151B" w:rsidP="00E5151B">
            <w:pPr>
              <w:spacing w:after="0" w:line="240" w:lineRule="auto"/>
              <w:contextualSpacing/>
              <w:textboxTightWrap w:val="none"/>
              <w:rPr>
                <w:rFonts w:cs="Arial"/>
                <w:color w:val="auto"/>
              </w:rPr>
            </w:pPr>
            <w:r w:rsidRPr="00100E42">
              <w:rPr>
                <w:rFonts w:cs="Arial"/>
                <w:b/>
                <w:bCs/>
                <w:color w:val="auto"/>
              </w:rPr>
              <w:t xml:space="preserve">Unfunded </w:t>
            </w:r>
            <w:r w:rsidR="00416B8C" w:rsidRPr="00100E42">
              <w:rPr>
                <w:rFonts w:cs="Arial"/>
                <w:b/>
                <w:bCs/>
                <w:color w:val="auto"/>
              </w:rPr>
              <w:t>pipeline c</w:t>
            </w:r>
            <w:r w:rsidRPr="00100E42">
              <w:rPr>
                <w:rFonts w:cs="Arial"/>
                <w:b/>
                <w:bCs/>
                <w:color w:val="auto"/>
              </w:rPr>
              <w:t xml:space="preserve">apital </w:t>
            </w:r>
            <w:r w:rsidR="00740954">
              <w:rPr>
                <w:rFonts w:cs="Arial"/>
                <w:b/>
                <w:bCs/>
                <w:color w:val="auto"/>
              </w:rPr>
              <w:t>s</w:t>
            </w:r>
            <w:r w:rsidRPr="00100E42">
              <w:rPr>
                <w:rFonts w:cs="Arial"/>
                <w:b/>
                <w:bCs/>
                <w:color w:val="auto"/>
              </w:rPr>
              <w:t>chemes</w:t>
            </w:r>
            <w:r w:rsidRPr="00100E42">
              <w:rPr>
                <w:rFonts w:cs="Arial"/>
                <w:color w:val="auto"/>
              </w:rPr>
              <w:t xml:space="preserve"> – system partners have provided a list of unfunded schemes through the strategic capital group. These are not included in this submission but will be considered as part of the system wide </w:t>
            </w:r>
            <w:r w:rsidR="000E0845" w:rsidRPr="00100E42">
              <w:rPr>
                <w:rFonts w:cs="Arial"/>
                <w:color w:val="auto"/>
              </w:rPr>
              <w:t>10-year</w:t>
            </w:r>
            <w:r w:rsidR="00773EF2" w:rsidRPr="00100E42">
              <w:rPr>
                <w:rFonts w:cs="Arial"/>
                <w:color w:val="auto"/>
              </w:rPr>
              <w:t xml:space="preserve"> infrastructure plan</w:t>
            </w:r>
            <w:r w:rsidRPr="00100E42">
              <w:rPr>
                <w:rFonts w:cs="Arial"/>
                <w:color w:val="auto"/>
              </w:rPr>
              <w:t xml:space="preserve"> </w:t>
            </w:r>
            <w:r w:rsidR="000E0845" w:rsidRPr="00100E42">
              <w:rPr>
                <w:rFonts w:cs="Arial"/>
                <w:color w:val="auto"/>
              </w:rPr>
              <w:t xml:space="preserve">prioritisation </w:t>
            </w:r>
            <w:r w:rsidRPr="00100E42">
              <w:rPr>
                <w:rFonts w:cs="Arial"/>
                <w:color w:val="auto"/>
              </w:rPr>
              <w:t>process</w:t>
            </w:r>
            <w:r w:rsidR="00416B8C" w:rsidRPr="00100E42">
              <w:rPr>
                <w:rFonts w:cs="Arial"/>
                <w:color w:val="auto"/>
              </w:rPr>
              <w:t>.</w:t>
            </w:r>
          </w:p>
          <w:p w14:paraId="33ACB057" w14:textId="77777777" w:rsidR="00477F13" w:rsidRPr="00100E42" w:rsidRDefault="00477F13" w:rsidP="00E5151B">
            <w:pPr>
              <w:spacing w:after="0" w:line="240" w:lineRule="auto"/>
              <w:contextualSpacing/>
              <w:textboxTightWrap w:val="none"/>
              <w:rPr>
                <w:rFonts w:cs="Arial"/>
                <w:color w:val="auto"/>
              </w:rPr>
            </w:pPr>
          </w:p>
          <w:p w14:paraId="2B255D45"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Primary, community &amp; social care hubs</w:t>
            </w:r>
          </w:p>
          <w:p w14:paraId="5377EAEB"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Backlog maintenance</w:t>
            </w:r>
          </w:p>
          <w:p w14:paraId="3A7C24D2"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Additional bed capacity</w:t>
            </w:r>
          </w:p>
          <w:p w14:paraId="479D51E6"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Day Surgery Unit</w:t>
            </w:r>
          </w:p>
          <w:p w14:paraId="795BB493"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Maternity services</w:t>
            </w:r>
          </w:p>
          <w:p w14:paraId="4E2B6B4E"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Spinal unit Refurbishment</w:t>
            </w:r>
          </w:p>
          <w:p w14:paraId="72C06B92"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Critical Infrastructure</w:t>
            </w:r>
          </w:p>
          <w:p w14:paraId="5AEBB0E1" w14:textId="77777777" w:rsidR="00477F13" w:rsidRPr="00100E42" w:rsidRDefault="00477F13" w:rsidP="00477F13">
            <w:pPr>
              <w:spacing w:after="0" w:line="240" w:lineRule="auto"/>
              <w:contextualSpacing/>
              <w:textboxTightWrap w:val="none"/>
              <w:rPr>
                <w:rFonts w:cs="Arial"/>
                <w:color w:val="auto"/>
              </w:rPr>
            </w:pPr>
            <w:r w:rsidRPr="00100E42">
              <w:rPr>
                <w:rFonts w:cs="Arial"/>
                <w:color w:val="auto"/>
              </w:rPr>
              <w:t>•</w:t>
            </w:r>
            <w:r w:rsidRPr="00100E42">
              <w:rPr>
                <w:rFonts w:cs="Arial"/>
                <w:color w:val="auto"/>
              </w:rPr>
              <w:tab/>
              <w:t>Decarbonisation</w:t>
            </w:r>
          </w:p>
          <w:p w14:paraId="65946D98" w14:textId="77777777" w:rsidR="00477F13" w:rsidRPr="00100E42" w:rsidRDefault="00477F13" w:rsidP="00E5151B">
            <w:pPr>
              <w:spacing w:after="0" w:line="240" w:lineRule="auto"/>
              <w:contextualSpacing/>
              <w:textboxTightWrap w:val="none"/>
              <w:rPr>
                <w:rFonts w:cs="Arial"/>
                <w:color w:val="auto"/>
              </w:rPr>
            </w:pPr>
          </w:p>
          <w:p w14:paraId="7BB49FAA" w14:textId="65BFCDCE" w:rsidR="00E5151B" w:rsidRPr="00100E42" w:rsidRDefault="00E5151B" w:rsidP="00E5151B">
            <w:pPr>
              <w:spacing w:after="0" w:line="240" w:lineRule="auto"/>
              <w:contextualSpacing/>
              <w:textboxTightWrap w:val="none"/>
              <w:rPr>
                <w:rFonts w:cs="Arial"/>
                <w:color w:val="auto"/>
              </w:rPr>
            </w:pPr>
            <w:r w:rsidRPr="00100E42">
              <w:rPr>
                <w:rFonts w:cs="Arial"/>
                <w:b/>
                <w:bCs/>
                <w:color w:val="auto"/>
              </w:rPr>
              <w:t>IFRS 16</w:t>
            </w:r>
            <w:r w:rsidRPr="00100E42">
              <w:rPr>
                <w:rFonts w:cs="Arial"/>
                <w:color w:val="auto"/>
              </w:rPr>
              <w:t xml:space="preserve"> – Additional risk as allocation is lower than previous year. There may be further requirements for additional funding on clinical equipment and building leases. </w:t>
            </w:r>
            <w:r w:rsidR="00773EF2" w:rsidRPr="00100E42">
              <w:rPr>
                <w:rFonts w:cs="Arial"/>
                <w:color w:val="auto"/>
              </w:rPr>
              <w:t>We are progressing on the basis that any additional capital cost impact related to the mandated implementation of IFRS16 are funded by NHS England, although this has not yet been formally confirmed.</w:t>
            </w:r>
          </w:p>
          <w:p w14:paraId="5B5E33F8" w14:textId="77777777" w:rsidR="00E5151B" w:rsidRPr="00100E42" w:rsidRDefault="00E5151B" w:rsidP="00E5151B">
            <w:pPr>
              <w:spacing w:after="0" w:line="240" w:lineRule="auto"/>
              <w:contextualSpacing/>
              <w:textboxTightWrap w:val="none"/>
              <w:rPr>
                <w:rFonts w:cs="Arial"/>
                <w:color w:val="auto"/>
              </w:rPr>
            </w:pPr>
          </w:p>
          <w:p w14:paraId="67E76DF6" w14:textId="77777777" w:rsidR="00E5151B" w:rsidRPr="00100E42" w:rsidRDefault="00E5151B" w:rsidP="00E5151B">
            <w:pPr>
              <w:spacing w:after="0" w:line="240" w:lineRule="auto"/>
              <w:contextualSpacing/>
              <w:textboxTightWrap w:val="none"/>
              <w:rPr>
                <w:rFonts w:cs="Arial"/>
                <w:color w:val="auto"/>
              </w:rPr>
            </w:pPr>
            <w:r w:rsidRPr="00100E42">
              <w:rPr>
                <w:rFonts w:cs="Arial"/>
                <w:b/>
                <w:bCs/>
                <w:color w:val="auto"/>
              </w:rPr>
              <w:t>Primary care and Community transformatio</w:t>
            </w:r>
            <w:r w:rsidRPr="00100E42">
              <w:rPr>
                <w:rFonts w:cs="Arial"/>
                <w:color w:val="auto"/>
              </w:rPr>
              <w:t>n - capital required for transformation. Further work required as part of prioritisation process.</w:t>
            </w:r>
          </w:p>
          <w:p w14:paraId="34726975" w14:textId="77777777" w:rsidR="00E5151B" w:rsidRPr="00100E42" w:rsidRDefault="00E5151B" w:rsidP="00E5151B">
            <w:pPr>
              <w:spacing w:after="0" w:line="240" w:lineRule="auto"/>
              <w:contextualSpacing/>
              <w:textboxTightWrap w:val="none"/>
              <w:rPr>
                <w:rFonts w:cs="Arial"/>
                <w:color w:val="auto"/>
              </w:rPr>
            </w:pPr>
          </w:p>
          <w:p w14:paraId="24448758" w14:textId="4D350974" w:rsidR="00E5151B" w:rsidRPr="00100E42" w:rsidRDefault="00E5151B" w:rsidP="00E5151B">
            <w:pPr>
              <w:spacing w:after="0" w:line="240" w:lineRule="auto"/>
              <w:contextualSpacing/>
              <w:textboxTightWrap w:val="none"/>
              <w:rPr>
                <w:rFonts w:cs="Arial"/>
                <w:color w:val="auto"/>
              </w:rPr>
            </w:pPr>
            <w:r w:rsidRPr="00100E42">
              <w:rPr>
                <w:rFonts w:cs="Arial"/>
                <w:b/>
                <w:bCs/>
                <w:color w:val="auto"/>
              </w:rPr>
              <w:t>Revenue</w:t>
            </w:r>
            <w:r w:rsidRPr="00100E42">
              <w:rPr>
                <w:rFonts w:cs="Arial"/>
                <w:color w:val="auto"/>
              </w:rPr>
              <w:t xml:space="preserve"> impact of schemes on system position – Additional risk where the revenue impact is not assessed at the start of scheme and needs to be reviewed across our future programmes</w:t>
            </w:r>
            <w:r w:rsidR="00114382" w:rsidRPr="00100E42">
              <w:rPr>
                <w:rFonts w:cs="Arial"/>
                <w:color w:val="auto"/>
              </w:rPr>
              <w:t xml:space="preserve">. </w:t>
            </w:r>
          </w:p>
          <w:p w14:paraId="74090CA3" w14:textId="77777777" w:rsidR="00E5151B" w:rsidRPr="00100E42" w:rsidRDefault="00E5151B" w:rsidP="00E5151B">
            <w:pPr>
              <w:spacing w:after="0" w:line="240" w:lineRule="auto"/>
              <w:contextualSpacing/>
              <w:textboxTightWrap w:val="none"/>
              <w:rPr>
                <w:rFonts w:cs="Arial"/>
                <w:color w:val="auto"/>
              </w:rPr>
            </w:pPr>
          </w:p>
          <w:p w14:paraId="57DF0927" w14:textId="67CA60D4" w:rsidR="00E5151B" w:rsidRPr="00100E42" w:rsidRDefault="00773EF2" w:rsidP="000A52E6">
            <w:pPr>
              <w:spacing w:after="0" w:line="240" w:lineRule="auto"/>
              <w:contextualSpacing/>
              <w:textboxTightWrap w:val="none"/>
              <w:rPr>
                <w:rFonts w:cs="Arial"/>
                <w:color w:val="auto"/>
              </w:rPr>
            </w:pPr>
            <w:r w:rsidRPr="00100E42">
              <w:rPr>
                <w:rFonts w:cs="Arial"/>
                <w:b/>
                <w:bCs/>
                <w:color w:val="auto"/>
              </w:rPr>
              <w:t xml:space="preserve">Cash </w:t>
            </w:r>
            <w:r w:rsidRPr="00100E42">
              <w:rPr>
                <w:rFonts w:cs="Arial"/>
                <w:color w:val="auto"/>
              </w:rPr>
              <w:t>- As described above, operational capital is funded through a combination of depreciation and cash. This is a significant risk in the system.</w:t>
            </w:r>
          </w:p>
          <w:p w14:paraId="6551A3F6" w14:textId="77777777" w:rsidR="000A52E6" w:rsidRPr="00100E42" w:rsidRDefault="000A52E6" w:rsidP="000A52E6">
            <w:pPr>
              <w:spacing w:after="0" w:line="240" w:lineRule="auto"/>
              <w:contextualSpacing/>
              <w:textboxTightWrap w:val="none"/>
              <w:rPr>
                <w:rFonts w:cs="Arial"/>
                <w:color w:val="auto"/>
              </w:rPr>
            </w:pPr>
          </w:p>
          <w:p w14:paraId="080BFDDF" w14:textId="77777777" w:rsidR="000A52E6" w:rsidRPr="00100E42" w:rsidRDefault="000A52E6" w:rsidP="000A52E6">
            <w:pPr>
              <w:spacing w:after="0" w:line="240" w:lineRule="auto"/>
              <w:contextualSpacing/>
              <w:textboxTightWrap w:val="none"/>
              <w:rPr>
                <w:rFonts w:cs="Arial"/>
                <w:color w:val="auto"/>
              </w:rPr>
            </w:pPr>
            <w:r w:rsidRPr="00100E42">
              <w:rPr>
                <w:rFonts w:cs="Arial"/>
                <w:b/>
                <w:bCs/>
                <w:color w:val="auto"/>
              </w:rPr>
              <w:t>Inflation</w:t>
            </w:r>
            <w:r w:rsidRPr="00100E42">
              <w:rPr>
                <w:rFonts w:cs="Arial"/>
                <w:color w:val="auto"/>
              </w:rPr>
              <w:t xml:space="preserve"> - The current level of inflation is having a significant impact on the ability to manage project expenditure to original plans, particularly across multi-year projects.</w:t>
            </w:r>
          </w:p>
          <w:p w14:paraId="4F16FDE5" w14:textId="77777777" w:rsidR="000A52E6" w:rsidRPr="00100E42" w:rsidRDefault="000A52E6" w:rsidP="000A52E6">
            <w:pPr>
              <w:spacing w:after="0" w:line="240" w:lineRule="auto"/>
              <w:contextualSpacing/>
              <w:textboxTightWrap w:val="none"/>
              <w:rPr>
                <w:rFonts w:cs="Arial"/>
                <w:color w:val="auto"/>
              </w:rPr>
            </w:pPr>
          </w:p>
          <w:p w14:paraId="07FA5EB5" w14:textId="2CAB68FE" w:rsidR="00330373" w:rsidRPr="00100E42" w:rsidRDefault="000A52E6" w:rsidP="00330373">
            <w:pPr>
              <w:spacing w:after="0" w:line="240" w:lineRule="auto"/>
              <w:contextualSpacing/>
              <w:textboxTightWrap w:val="none"/>
              <w:rPr>
                <w:rFonts w:cs="Arial"/>
                <w:color w:val="auto"/>
              </w:rPr>
            </w:pPr>
            <w:r w:rsidRPr="00100E42">
              <w:rPr>
                <w:rFonts w:cs="Arial"/>
                <w:b/>
                <w:bCs/>
                <w:color w:val="auto"/>
              </w:rPr>
              <w:t xml:space="preserve">Delivery </w:t>
            </w:r>
            <w:r w:rsidR="00330373" w:rsidRPr="00100E42">
              <w:rPr>
                <w:rFonts w:cs="Arial"/>
                <w:color w:val="auto"/>
              </w:rPr>
              <w:t>–</w:t>
            </w:r>
            <w:r w:rsidRPr="00100E42">
              <w:rPr>
                <w:rFonts w:cs="Arial"/>
                <w:color w:val="auto"/>
              </w:rPr>
              <w:t xml:space="preserve"> </w:t>
            </w:r>
            <w:r w:rsidR="00330373" w:rsidRPr="00100E42">
              <w:rPr>
                <w:rFonts w:cs="Arial"/>
                <w:color w:val="auto"/>
              </w:rPr>
              <w:t>There are also risks over the deliverability and availability of resources and materials through procurement and supply chains, with more limited access to market and contractors in the far South West of England. This increases the risks of actual costs being higher than planned.</w:t>
            </w:r>
          </w:p>
          <w:p w14:paraId="2C899B30" w14:textId="77777777" w:rsidR="00351976" w:rsidRPr="00CA1AA6" w:rsidRDefault="00351976" w:rsidP="00B91191">
            <w:pPr>
              <w:spacing w:after="0" w:line="240" w:lineRule="auto"/>
              <w:contextualSpacing/>
              <w:textboxTightWrap w:val="none"/>
              <w:rPr>
                <w:rFonts w:cs="Arial"/>
                <w:i/>
                <w:iCs/>
                <w:color w:val="auto"/>
                <w:sz w:val="22"/>
                <w:szCs w:val="22"/>
              </w:rPr>
            </w:pPr>
          </w:p>
        </w:tc>
      </w:tr>
    </w:tbl>
    <w:p w14:paraId="2BCE46A8" w14:textId="77777777" w:rsidR="00B369F7" w:rsidRPr="00DE2C6E" w:rsidRDefault="00B369F7" w:rsidP="00351976">
      <w:pPr>
        <w:rPr>
          <w:rFonts w:cs="Arial"/>
          <w:b/>
          <w:bCs/>
          <w:color w:val="auto"/>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86"/>
      </w:tblGrid>
      <w:tr w:rsidR="00351976" w:rsidRPr="00DE2C6E" w14:paraId="1585D4ED" w14:textId="77777777" w:rsidTr="00100E42">
        <w:trPr>
          <w:trHeight w:val="605"/>
        </w:trPr>
        <w:tc>
          <w:tcPr>
            <w:tcW w:w="5000" w:type="pct"/>
            <w:shd w:val="clear" w:color="auto" w:fill="0070C0"/>
            <w:vAlign w:val="center"/>
          </w:tcPr>
          <w:p w14:paraId="74705BFC" w14:textId="77777777" w:rsidR="00351976" w:rsidRPr="00DE2C6E" w:rsidRDefault="00351976" w:rsidP="003706A4">
            <w:pPr>
              <w:rPr>
                <w:rFonts w:cs="Arial"/>
                <w:i/>
                <w:iCs/>
                <w:color w:val="000000" w:themeColor="text1"/>
                <w:sz w:val="18"/>
                <w:szCs w:val="18"/>
              </w:rPr>
            </w:pPr>
            <w:r w:rsidRPr="00351976">
              <w:rPr>
                <w:rFonts w:cs="Arial"/>
                <w:b/>
                <w:bCs/>
                <w:color w:val="FFFFFF" w:themeColor="background1"/>
              </w:rPr>
              <w:t>Business cases in 2024/25</w:t>
            </w:r>
          </w:p>
        </w:tc>
      </w:tr>
      <w:tr w:rsidR="00351976" w:rsidRPr="00DE2C6E" w14:paraId="2BBECF9C" w14:textId="77777777" w:rsidTr="00100E42">
        <w:trPr>
          <w:trHeight w:val="699"/>
        </w:trPr>
        <w:tc>
          <w:tcPr>
            <w:tcW w:w="5000" w:type="pct"/>
            <w:shd w:val="clear" w:color="auto" w:fill="auto"/>
          </w:tcPr>
          <w:p w14:paraId="696E09EF" w14:textId="77777777" w:rsidR="00F72DDB" w:rsidRPr="006562C8" w:rsidRDefault="00F72DDB" w:rsidP="00F72DDB">
            <w:pPr>
              <w:pStyle w:val="ListParagraph"/>
              <w:spacing w:after="0" w:line="240" w:lineRule="auto"/>
              <w:ind w:left="720" w:firstLine="0"/>
              <w:contextualSpacing/>
              <w:textboxTightWrap w:val="none"/>
              <w:rPr>
                <w:rFonts w:cs="Arial"/>
                <w:color w:val="auto"/>
                <w:sz w:val="22"/>
                <w:szCs w:val="22"/>
              </w:rPr>
            </w:pPr>
          </w:p>
          <w:p w14:paraId="12B125E7" w14:textId="3D694946" w:rsidR="009720B0" w:rsidRDefault="00F72DDB" w:rsidP="009720B0">
            <w:pPr>
              <w:pStyle w:val="ListParagraph"/>
              <w:spacing w:after="0" w:line="240" w:lineRule="auto"/>
              <w:ind w:firstLine="0"/>
              <w:contextualSpacing/>
              <w:textboxTightWrap w:val="none"/>
              <w:rPr>
                <w:rFonts w:cs="Arial"/>
                <w:b/>
                <w:bCs/>
                <w:color w:val="auto"/>
                <w:sz w:val="22"/>
                <w:szCs w:val="22"/>
              </w:rPr>
            </w:pPr>
            <w:r w:rsidRPr="00F65431">
              <w:rPr>
                <w:rFonts w:cs="Arial"/>
                <w:b/>
                <w:bCs/>
                <w:color w:val="auto"/>
                <w:sz w:val="22"/>
                <w:szCs w:val="22"/>
              </w:rPr>
              <w:t>Trowbridge Integrated Care Centre Short Form Business Case - £</w:t>
            </w:r>
            <w:r w:rsidR="004C14A4">
              <w:rPr>
                <w:rFonts w:cs="Arial"/>
                <w:b/>
                <w:bCs/>
                <w:color w:val="auto"/>
                <w:sz w:val="22"/>
                <w:szCs w:val="22"/>
              </w:rPr>
              <w:t>16</w:t>
            </w:r>
            <w:r w:rsidR="00F65431">
              <w:rPr>
                <w:rFonts w:cs="Arial"/>
                <w:b/>
                <w:bCs/>
                <w:color w:val="auto"/>
                <w:sz w:val="22"/>
                <w:szCs w:val="22"/>
              </w:rPr>
              <w:t>m</w:t>
            </w:r>
            <w:r w:rsidR="009720B0">
              <w:rPr>
                <w:rFonts w:cs="Arial"/>
                <w:b/>
                <w:bCs/>
                <w:color w:val="auto"/>
                <w:sz w:val="22"/>
                <w:szCs w:val="22"/>
              </w:rPr>
              <w:t xml:space="preserve">   </w:t>
            </w:r>
          </w:p>
          <w:p w14:paraId="0ADD1442" w14:textId="77777777" w:rsidR="009720B0" w:rsidRDefault="009720B0" w:rsidP="009720B0">
            <w:pPr>
              <w:pStyle w:val="ListParagraph"/>
              <w:spacing w:after="0" w:line="240" w:lineRule="auto"/>
              <w:ind w:firstLine="0"/>
              <w:contextualSpacing/>
              <w:textboxTightWrap w:val="none"/>
              <w:rPr>
                <w:rFonts w:cs="Arial"/>
                <w:b/>
                <w:bCs/>
                <w:color w:val="auto"/>
                <w:sz w:val="22"/>
                <w:szCs w:val="22"/>
              </w:rPr>
            </w:pPr>
          </w:p>
          <w:p w14:paraId="40CC8980" w14:textId="355B20CC" w:rsidR="004C14A4" w:rsidRPr="00100E42" w:rsidRDefault="004C14A4" w:rsidP="00100E42">
            <w:pPr>
              <w:pStyle w:val="ListParagraph"/>
              <w:spacing w:after="0" w:line="240" w:lineRule="auto"/>
              <w:ind w:firstLine="0"/>
              <w:contextualSpacing/>
              <w:textboxTightWrap w:val="none"/>
              <w:rPr>
                <w:rFonts w:cs="Arial"/>
                <w:color w:val="auto"/>
                <w:sz w:val="22"/>
                <w:szCs w:val="22"/>
              </w:rPr>
            </w:pPr>
            <w:r w:rsidRPr="00100E42">
              <w:rPr>
                <w:rFonts w:cs="Arial"/>
                <w:color w:val="auto"/>
                <w:sz w:val="22"/>
                <w:szCs w:val="22"/>
              </w:rPr>
              <w:t xml:space="preserve">A short form business case is currently going through the NHS England and the Department of Health and Social Care authorisation process to approve the construction of an integrated care centre in Trowbridge with a decision </w:t>
            </w:r>
            <w:r w:rsidR="00394ED7">
              <w:rPr>
                <w:rFonts w:cs="Arial"/>
                <w:color w:val="auto"/>
                <w:sz w:val="22"/>
                <w:szCs w:val="22"/>
              </w:rPr>
              <w:t>later in the year.</w:t>
            </w:r>
            <w:r w:rsidRPr="00100E42">
              <w:rPr>
                <w:rFonts w:cs="Arial"/>
                <w:color w:val="auto"/>
                <w:sz w:val="22"/>
                <w:szCs w:val="22"/>
              </w:rPr>
              <w:t xml:space="preserve"> </w:t>
            </w:r>
            <w:r w:rsidR="009720B0" w:rsidRPr="009720B0">
              <w:rPr>
                <w:rFonts w:cs="Arial"/>
                <w:color w:val="auto"/>
                <w:sz w:val="22"/>
                <w:szCs w:val="22"/>
              </w:rPr>
              <w:t>This capital project provides an opportunity to strengthen the level of integration across Primary and Community Care, and to address the known demand challenges which exist, and which will likely increase through above average growth in the local population.</w:t>
            </w:r>
          </w:p>
          <w:p w14:paraId="65CE3196" w14:textId="77777777" w:rsidR="004C14A4" w:rsidRDefault="004C14A4" w:rsidP="00F72DDB">
            <w:pPr>
              <w:pStyle w:val="ListParagraph"/>
              <w:spacing w:after="0" w:line="240" w:lineRule="auto"/>
              <w:ind w:firstLine="0"/>
              <w:contextualSpacing/>
              <w:textboxTightWrap w:val="none"/>
              <w:rPr>
                <w:rFonts w:cs="Arial"/>
                <w:b/>
                <w:bCs/>
                <w:color w:val="auto"/>
                <w:sz w:val="22"/>
                <w:szCs w:val="22"/>
              </w:rPr>
            </w:pPr>
          </w:p>
          <w:p w14:paraId="0ABA64EF" w14:textId="59A88D5A" w:rsidR="00F72DDB" w:rsidRPr="00F72DDB" w:rsidRDefault="00F72DDB" w:rsidP="009720B0">
            <w:pPr>
              <w:pStyle w:val="ListParagraph"/>
              <w:spacing w:after="0" w:line="240" w:lineRule="auto"/>
              <w:ind w:firstLine="0"/>
              <w:contextualSpacing/>
              <w:textboxTightWrap w:val="none"/>
              <w:rPr>
                <w:rFonts w:cs="Arial"/>
                <w:color w:val="auto"/>
                <w:sz w:val="22"/>
                <w:szCs w:val="22"/>
              </w:rPr>
            </w:pPr>
          </w:p>
        </w:tc>
      </w:tr>
    </w:tbl>
    <w:p w14:paraId="0DC2E46C" w14:textId="77777777" w:rsidR="00351976" w:rsidRDefault="00351976" w:rsidP="00351976">
      <w:pPr>
        <w:rPr>
          <w:rFonts w:cs="Arial"/>
          <w:b/>
          <w:bCs/>
          <w:color w:val="auto"/>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786"/>
      </w:tblGrid>
      <w:tr w:rsidR="00E87BAA" w:rsidRPr="00DE2C6E" w14:paraId="1251BF3C" w14:textId="77777777" w:rsidTr="00100E42">
        <w:trPr>
          <w:trHeight w:val="605"/>
        </w:trPr>
        <w:tc>
          <w:tcPr>
            <w:tcW w:w="5000" w:type="pct"/>
            <w:shd w:val="clear" w:color="auto" w:fill="0070C0"/>
            <w:vAlign w:val="center"/>
          </w:tcPr>
          <w:p w14:paraId="0B4933B8" w14:textId="77777777" w:rsidR="00E87BAA" w:rsidRPr="00DE2C6E" w:rsidRDefault="00E87BAA" w:rsidP="001C3FEF">
            <w:pPr>
              <w:rPr>
                <w:rFonts w:cs="Arial"/>
                <w:i/>
                <w:iCs/>
                <w:color w:val="000000" w:themeColor="text1"/>
                <w:sz w:val="18"/>
                <w:szCs w:val="18"/>
              </w:rPr>
            </w:pPr>
            <w:r w:rsidRPr="00351976">
              <w:rPr>
                <w:rFonts w:cs="Arial"/>
                <w:b/>
                <w:bCs/>
                <w:color w:val="FFFFFF" w:themeColor="background1"/>
              </w:rPr>
              <w:t>Net zero carbon strategy</w:t>
            </w:r>
          </w:p>
        </w:tc>
      </w:tr>
      <w:tr w:rsidR="00E87BAA" w:rsidRPr="00DE2C6E" w14:paraId="6C3BF35D" w14:textId="77777777" w:rsidTr="00100E42">
        <w:trPr>
          <w:trHeight w:val="699"/>
        </w:trPr>
        <w:tc>
          <w:tcPr>
            <w:tcW w:w="5000" w:type="pct"/>
            <w:shd w:val="clear" w:color="auto" w:fill="auto"/>
          </w:tcPr>
          <w:p w14:paraId="40B96815" w14:textId="77777777" w:rsidR="00E87BAA" w:rsidRDefault="00E87BAA" w:rsidP="001C3FEF">
            <w:pPr>
              <w:pStyle w:val="paragraph"/>
              <w:spacing w:before="0" w:beforeAutospacing="0" w:after="0" w:afterAutospacing="0"/>
              <w:textAlignment w:val="baseline"/>
              <w:rPr>
                <w:rStyle w:val="normaltextrun"/>
                <w:rFonts w:ascii="Arial" w:hAnsi="Arial" w:cs="Arial"/>
                <w:color w:val="000000"/>
                <w:sz w:val="22"/>
                <w:szCs w:val="22"/>
              </w:rPr>
            </w:pPr>
          </w:p>
          <w:p w14:paraId="23DAC346" w14:textId="77777777" w:rsidR="00E87BAA" w:rsidRPr="00417B32" w:rsidRDefault="00E87BAA" w:rsidP="001C3FEF">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Climate change threatens the foundations of good health, with direct and immediate consequences for individuals, our infrastructure, and public services. Addressing climate change is important in helping us to meet our system-wide goals of developing healthier communities, improving health outcomes, and addressing the wider social determinants of health that can lead to health inequalities. </w:t>
            </w:r>
            <w:r w:rsidRPr="00417B32">
              <w:rPr>
                <w:rStyle w:val="normaltextrun"/>
                <w:color w:val="000000"/>
              </w:rPr>
              <w:t>​</w:t>
            </w:r>
          </w:p>
          <w:p w14:paraId="1A821F83" w14:textId="77777777" w:rsidR="00E87BAA" w:rsidRPr="00417B32" w:rsidRDefault="00E87BAA" w:rsidP="001C3FEF">
            <w:pPr>
              <w:pStyle w:val="paragraph"/>
              <w:spacing w:before="0" w:beforeAutospacing="0" w:after="0" w:afterAutospacing="0"/>
              <w:textAlignment w:val="baseline"/>
              <w:rPr>
                <w:rStyle w:val="normaltextrun"/>
                <w:rFonts w:ascii="Arial" w:hAnsi="Arial" w:cs="Arial"/>
                <w:color w:val="000000"/>
                <w:sz w:val="22"/>
                <w:szCs w:val="22"/>
              </w:rPr>
            </w:pPr>
            <w:r w:rsidRPr="00417B32">
              <w:rPr>
                <w:rStyle w:val="normaltextrun"/>
                <w:color w:val="000000"/>
              </w:rPr>
              <w:t>​</w:t>
            </w:r>
          </w:p>
          <w:p w14:paraId="0CFF9838" w14:textId="77777777" w:rsidR="00E87BAA" w:rsidRPr="00417B32" w:rsidRDefault="00E87BAA" w:rsidP="001C3FEF">
            <w:pPr>
              <w:pStyle w:val="paragraph"/>
              <w:spacing w:before="0" w:beforeAutospacing="0" w:after="0" w:afterAutospacing="0"/>
              <w:textAlignment w:val="baseline"/>
              <w:rPr>
                <w:rStyle w:val="normaltextrun"/>
                <w:rFonts w:ascii="Arial" w:hAnsi="Arial"/>
                <w:color w:val="000000"/>
              </w:rPr>
            </w:pPr>
            <w:r>
              <w:rPr>
                <w:rStyle w:val="normaltextrun"/>
                <w:rFonts w:ascii="Arial" w:hAnsi="Arial" w:cs="Arial"/>
                <w:color w:val="000000"/>
                <w:sz w:val="22"/>
                <w:szCs w:val="22"/>
              </w:rPr>
              <w:t xml:space="preserve">Working collaboratively with our partners, we have developed a system wide </w:t>
            </w:r>
            <w:hyperlink r:id="rId10" w:tgtFrame="_blank" w:history="1">
              <w:r w:rsidRPr="00417B32">
                <w:rPr>
                  <w:rStyle w:val="normaltextrun"/>
                  <w:rFonts w:ascii="Arial" w:hAnsi="Arial" w:cs="Arial"/>
                  <w:color w:val="000000"/>
                  <w:sz w:val="22"/>
                  <w:szCs w:val="22"/>
                </w:rPr>
                <w:t>Green Plan</w:t>
              </w:r>
            </w:hyperlink>
            <w:r>
              <w:rPr>
                <w:rStyle w:val="normaltextrun"/>
                <w:rFonts w:ascii="Arial" w:hAnsi="Arial" w:cs="Arial"/>
                <w:color w:val="000000"/>
                <w:sz w:val="22"/>
                <w:szCs w:val="22"/>
              </w:rPr>
              <w:t xml:space="preserve"> to detail our vision for reducing emissions in line with national trajectories for </w:t>
            </w:r>
            <w:hyperlink r:id="rId11" w:tgtFrame="_blank" w:history="1">
              <w:r w:rsidRPr="00417B32">
                <w:rPr>
                  <w:rStyle w:val="normaltextrun"/>
                  <w:rFonts w:ascii="Arial" w:hAnsi="Arial" w:cs="Arial"/>
                  <w:color w:val="000000"/>
                  <w:sz w:val="22"/>
                  <w:szCs w:val="22"/>
                </w:rPr>
                <w:t xml:space="preserve">delivering a Net Zero NHS </w:t>
              </w:r>
            </w:hyperlink>
            <w:r>
              <w:rPr>
                <w:rStyle w:val="normaltextrun"/>
                <w:rFonts w:ascii="Arial" w:hAnsi="Arial" w:cs="Arial"/>
                <w:color w:val="000000"/>
                <w:sz w:val="22"/>
                <w:szCs w:val="22"/>
              </w:rPr>
              <w:t>and how we can create a sustainable healthcare system for our population as a collective. </w:t>
            </w:r>
            <w:r w:rsidRPr="00417B32">
              <w:rPr>
                <w:rStyle w:val="normaltextrun"/>
                <w:rFonts w:ascii="Arial" w:hAnsi="Arial" w:cs="Arial"/>
                <w:color w:val="000000"/>
                <w:sz w:val="22"/>
                <w:szCs w:val="22"/>
              </w:rPr>
              <w:t>Aligned to the BSW ICS vision, the Plan supports our ICS strategic priorities by improving the health and wellbeing outcomes of our population so they can age well and reducing health inequalities caused through poor environments.</w:t>
            </w:r>
          </w:p>
          <w:p w14:paraId="447F5597" w14:textId="77777777" w:rsidR="00E87BAA" w:rsidRDefault="00E87BAA" w:rsidP="001C3FEF">
            <w:pPr>
              <w:spacing w:after="0" w:line="240" w:lineRule="auto"/>
              <w:contextualSpacing/>
              <w:textboxTightWrap w:val="none"/>
              <w:rPr>
                <w:rFonts w:cs="Arial"/>
                <w:color w:val="auto"/>
                <w:sz w:val="22"/>
                <w:szCs w:val="22"/>
              </w:rPr>
            </w:pPr>
          </w:p>
          <w:p w14:paraId="64035300" w14:textId="77777777" w:rsidR="00E87BAA" w:rsidRPr="00417B32" w:rsidRDefault="00E87BAA" w:rsidP="001C3FEF">
            <w:pPr>
              <w:spacing w:after="0" w:line="240" w:lineRule="auto"/>
              <w:contextualSpacing/>
              <w:textboxTightWrap w:val="none"/>
              <w:rPr>
                <w:rFonts w:cs="Arial"/>
                <w:color w:val="auto"/>
                <w:sz w:val="22"/>
                <w:szCs w:val="22"/>
              </w:rPr>
            </w:pPr>
            <w:r w:rsidRPr="00417B32">
              <w:rPr>
                <w:rFonts w:cs="Arial"/>
                <w:color w:val="auto"/>
                <w:sz w:val="22"/>
                <w:szCs w:val="22"/>
              </w:rPr>
              <w:t>Since the publication of the plan, the Greener BSW Programme Delivery group (PDG) has achieved the following commitments:</w:t>
            </w:r>
          </w:p>
          <w:p w14:paraId="6E941C56" w14:textId="77777777" w:rsidR="00E87BAA" w:rsidRPr="00417B32" w:rsidRDefault="00E87BAA" w:rsidP="001C3FEF">
            <w:pPr>
              <w:pStyle w:val="ListParagraph"/>
              <w:numPr>
                <w:ilvl w:val="0"/>
                <w:numId w:val="13"/>
              </w:numPr>
              <w:spacing w:after="0" w:line="240" w:lineRule="auto"/>
              <w:contextualSpacing/>
              <w:textboxTightWrap w:val="none"/>
              <w:rPr>
                <w:rFonts w:cs="Arial"/>
                <w:color w:val="auto"/>
                <w:sz w:val="22"/>
                <w:szCs w:val="22"/>
              </w:rPr>
            </w:pPr>
            <w:r w:rsidRPr="00417B32">
              <w:rPr>
                <w:rFonts w:cs="Arial"/>
                <w:color w:val="auto"/>
                <w:sz w:val="22"/>
                <w:szCs w:val="22"/>
              </w:rPr>
              <w:t>Board-level lead identified at ICS and organisational level.</w:t>
            </w:r>
          </w:p>
          <w:p w14:paraId="430FFA51" w14:textId="77777777" w:rsidR="00E87BAA" w:rsidRPr="00417B32" w:rsidRDefault="00E87BAA" w:rsidP="001C3FEF">
            <w:pPr>
              <w:pStyle w:val="ListParagraph"/>
              <w:numPr>
                <w:ilvl w:val="0"/>
                <w:numId w:val="13"/>
              </w:numPr>
              <w:spacing w:after="0" w:line="240" w:lineRule="auto"/>
              <w:contextualSpacing/>
              <w:textboxTightWrap w:val="none"/>
              <w:rPr>
                <w:rFonts w:cs="Arial"/>
                <w:color w:val="auto"/>
                <w:sz w:val="22"/>
                <w:szCs w:val="22"/>
              </w:rPr>
            </w:pPr>
            <w:r w:rsidRPr="00417B32">
              <w:rPr>
                <w:rFonts w:cs="Arial"/>
                <w:color w:val="auto"/>
                <w:sz w:val="22"/>
                <w:szCs w:val="22"/>
              </w:rPr>
              <w:lastRenderedPageBreak/>
              <w:t xml:space="preserve">Staff have access to a sustainability/green peer network. </w:t>
            </w:r>
          </w:p>
          <w:p w14:paraId="5702BEA1" w14:textId="025BA7EB" w:rsidR="00E87BAA" w:rsidRPr="00417B32" w:rsidRDefault="00E87BAA" w:rsidP="001C3FEF">
            <w:pPr>
              <w:pStyle w:val="ListParagraph"/>
              <w:numPr>
                <w:ilvl w:val="0"/>
                <w:numId w:val="13"/>
              </w:numPr>
              <w:spacing w:after="0" w:line="240" w:lineRule="auto"/>
              <w:contextualSpacing/>
              <w:textboxTightWrap w:val="none"/>
              <w:rPr>
                <w:rFonts w:cs="Arial"/>
                <w:color w:val="auto"/>
                <w:sz w:val="22"/>
                <w:szCs w:val="22"/>
              </w:rPr>
            </w:pPr>
            <w:r w:rsidRPr="00417B32">
              <w:rPr>
                <w:rFonts w:cs="Arial"/>
                <w:color w:val="auto"/>
                <w:sz w:val="22"/>
                <w:szCs w:val="22"/>
              </w:rPr>
              <w:t>Staff are made aware of the relevant Green Plans (ICS/Trust) via training/comms/</w:t>
            </w:r>
            <w:r w:rsidR="002417D4" w:rsidRPr="00417B32">
              <w:rPr>
                <w:rFonts w:cs="Arial"/>
                <w:color w:val="auto"/>
                <w:sz w:val="22"/>
                <w:szCs w:val="22"/>
              </w:rPr>
              <w:t>induction.</w:t>
            </w:r>
            <w:r w:rsidRPr="00417B32">
              <w:rPr>
                <w:rFonts w:cs="Arial"/>
                <w:color w:val="auto"/>
                <w:sz w:val="22"/>
                <w:szCs w:val="22"/>
              </w:rPr>
              <w:t xml:space="preserve"> </w:t>
            </w:r>
          </w:p>
          <w:p w14:paraId="1F581216" w14:textId="43B544FB" w:rsidR="00E87BAA" w:rsidRPr="00417B32" w:rsidRDefault="00E87BAA" w:rsidP="001C3FEF">
            <w:pPr>
              <w:pStyle w:val="ListParagraph"/>
              <w:numPr>
                <w:ilvl w:val="0"/>
                <w:numId w:val="13"/>
              </w:numPr>
              <w:spacing w:after="0" w:line="240" w:lineRule="auto"/>
              <w:contextualSpacing/>
              <w:textboxTightWrap w:val="none"/>
              <w:rPr>
                <w:rFonts w:cs="Arial"/>
                <w:color w:val="auto"/>
                <w:sz w:val="22"/>
                <w:szCs w:val="22"/>
              </w:rPr>
            </w:pPr>
            <w:r w:rsidRPr="00417B32">
              <w:rPr>
                <w:rFonts w:cs="Arial"/>
                <w:color w:val="auto"/>
                <w:sz w:val="22"/>
                <w:szCs w:val="22"/>
              </w:rPr>
              <w:t xml:space="preserve">Switch to 100% renewable electricity </w:t>
            </w:r>
            <w:r w:rsidR="002417D4" w:rsidRPr="00417B32">
              <w:rPr>
                <w:rFonts w:cs="Arial"/>
                <w:color w:val="auto"/>
                <w:sz w:val="22"/>
                <w:szCs w:val="22"/>
              </w:rPr>
              <w:t>suppliers.</w:t>
            </w:r>
            <w:r w:rsidRPr="00417B32">
              <w:rPr>
                <w:rFonts w:cs="Arial"/>
                <w:color w:val="auto"/>
                <w:sz w:val="22"/>
                <w:szCs w:val="22"/>
              </w:rPr>
              <w:t xml:space="preserve"> </w:t>
            </w:r>
          </w:p>
          <w:p w14:paraId="10BAA98A" w14:textId="77777777" w:rsidR="00E87BAA" w:rsidRPr="00417B32" w:rsidRDefault="00E87BAA" w:rsidP="001C3FEF">
            <w:pPr>
              <w:pStyle w:val="ListParagraph"/>
              <w:numPr>
                <w:ilvl w:val="0"/>
                <w:numId w:val="13"/>
              </w:numPr>
              <w:spacing w:after="0" w:line="240" w:lineRule="auto"/>
              <w:contextualSpacing/>
              <w:textboxTightWrap w:val="none"/>
              <w:rPr>
                <w:rFonts w:cs="Arial"/>
                <w:color w:val="auto"/>
                <w:sz w:val="22"/>
                <w:szCs w:val="22"/>
              </w:rPr>
            </w:pPr>
            <w:r w:rsidRPr="00417B32">
              <w:rPr>
                <w:rFonts w:cs="Arial"/>
                <w:color w:val="auto"/>
                <w:sz w:val="22"/>
                <w:szCs w:val="22"/>
              </w:rPr>
              <w:t xml:space="preserve">NHS Trusts to reduce use of desflurane in surgical procedures to &lt;5% </w:t>
            </w:r>
          </w:p>
          <w:p w14:paraId="6406DAEA" w14:textId="77777777" w:rsidR="00E87BAA" w:rsidRDefault="00E87BAA" w:rsidP="001C3FEF">
            <w:pPr>
              <w:pStyle w:val="ListParagraph"/>
              <w:numPr>
                <w:ilvl w:val="0"/>
                <w:numId w:val="13"/>
              </w:numPr>
              <w:spacing w:after="0" w:line="240" w:lineRule="auto"/>
              <w:contextualSpacing/>
              <w:textboxTightWrap w:val="none"/>
              <w:rPr>
                <w:rFonts w:cs="Arial"/>
                <w:color w:val="auto"/>
                <w:sz w:val="22"/>
                <w:szCs w:val="22"/>
              </w:rPr>
            </w:pPr>
            <w:r w:rsidRPr="00417B32">
              <w:rPr>
                <w:rFonts w:cs="Arial"/>
                <w:color w:val="auto"/>
                <w:sz w:val="22"/>
                <w:szCs w:val="22"/>
              </w:rPr>
              <w:t>NHS Trusts signed up to clean air hospital framework by March 2023</w:t>
            </w:r>
          </w:p>
          <w:p w14:paraId="76091D4B" w14:textId="3A2D9A4F" w:rsidR="00E87BAA" w:rsidRDefault="00D45219" w:rsidP="001C3FEF">
            <w:pPr>
              <w:spacing w:after="0" w:line="240" w:lineRule="auto"/>
              <w:contextualSpacing/>
              <w:textboxTightWrap w:val="none"/>
              <w:rPr>
                <w:rFonts w:cs="Arial"/>
                <w:color w:val="auto"/>
                <w:sz w:val="22"/>
                <w:szCs w:val="22"/>
              </w:rPr>
            </w:pPr>
            <w:r>
              <w:rPr>
                <w:rFonts w:cs="Arial"/>
                <w:color w:val="auto"/>
                <w:sz w:val="22"/>
                <w:szCs w:val="22"/>
              </w:rPr>
              <w:t>In addition to the Devizes Health Centre, referred to earlier in this document,</w:t>
            </w:r>
          </w:p>
          <w:p w14:paraId="56B5C1BA" w14:textId="77777777" w:rsidR="00E87BAA" w:rsidRDefault="00E87BAA" w:rsidP="001C3FEF">
            <w:pPr>
              <w:spacing w:after="0" w:line="240" w:lineRule="auto"/>
              <w:contextualSpacing/>
              <w:textboxTightWrap w:val="none"/>
              <w:rPr>
                <w:rFonts w:cs="Arial"/>
                <w:color w:val="auto"/>
                <w:sz w:val="22"/>
                <w:szCs w:val="22"/>
              </w:rPr>
            </w:pPr>
            <w:r>
              <w:rPr>
                <w:rFonts w:cs="Arial"/>
                <w:color w:val="auto"/>
                <w:sz w:val="22"/>
                <w:szCs w:val="22"/>
              </w:rPr>
              <w:t>Our partners within the PDG have also taken the opportunity to access capital funding to support sustainable initiatives. These include:</w:t>
            </w:r>
          </w:p>
          <w:p w14:paraId="15D5E39A" w14:textId="77777777" w:rsidR="00E87BAA" w:rsidRDefault="00E87BAA" w:rsidP="001C3FEF">
            <w:pPr>
              <w:spacing w:after="0" w:line="240" w:lineRule="auto"/>
              <w:contextualSpacing/>
              <w:textboxTightWrap w:val="none"/>
              <w:rPr>
                <w:rFonts w:cs="Arial"/>
                <w:color w:val="auto"/>
                <w:sz w:val="22"/>
                <w:szCs w:val="22"/>
              </w:rPr>
            </w:pPr>
          </w:p>
          <w:p w14:paraId="4989350E" w14:textId="77777777" w:rsidR="00E87BAA" w:rsidRPr="00417B32" w:rsidRDefault="00E87BAA" w:rsidP="001C3FEF">
            <w:pPr>
              <w:spacing w:after="0" w:line="240" w:lineRule="auto"/>
              <w:contextualSpacing/>
              <w:textboxTightWrap w:val="none"/>
              <w:rPr>
                <w:rFonts w:cs="Arial"/>
                <w:color w:val="auto"/>
                <w:sz w:val="22"/>
                <w:szCs w:val="22"/>
              </w:rPr>
            </w:pPr>
            <w:r w:rsidRPr="00100E42">
              <w:rPr>
                <w:rFonts w:cs="Arial"/>
                <w:b/>
                <w:bCs/>
                <w:color w:val="auto"/>
                <w:sz w:val="22"/>
                <w:szCs w:val="22"/>
              </w:rPr>
              <w:t>GWH Central Destruction Unit</w:t>
            </w:r>
            <w:r w:rsidRPr="00417B32">
              <w:rPr>
                <w:rFonts w:cs="Arial"/>
                <w:color w:val="auto"/>
                <w:sz w:val="22"/>
                <w:szCs w:val="22"/>
              </w:rPr>
              <w:t>​</w:t>
            </w:r>
          </w:p>
          <w:p w14:paraId="2FC53713" w14:textId="77777777" w:rsidR="00E87BAA" w:rsidRPr="00417B32" w:rsidRDefault="00E87BAA" w:rsidP="001C3FEF">
            <w:pPr>
              <w:spacing w:after="0" w:line="240" w:lineRule="auto"/>
              <w:contextualSpacing/>
              <w:textboxTightWrap w:val="none"/>
              <w:rPr>
                <w:rFonts w:cs="Arial"/>
                <w:color w:val="auto"/>
                <w:sz w:val="22"/>
                <w:szCs w:val="22"/>
              </w:rPr>
            </w:pPr>
            <w:r w:rsidRPr="00417B32">
              <w:rPr>
                <w:rFonts w:cs="Arial"/>
                <w:color w:val="auto"/>
                <w:sz w:val="22"/>
                <w:szCs w:val="22"/>
              </w:rPr>
              <w:t>In May 2023 Great Western Hospitals NHS Foundation Trust became only the second NHS organisation in the country, and first in the southwest, to install a Central Destruction Unit (CDU) to make Entonox - also known as gas and air - carbon neutral.</w:t>
            </w:r>
            <w:r>
              <w:rPr>
                <w:rFonts w:cs="Arial"/>
                <w:color w:val="auto"/>
                <w:sz w:val="22"/>
                <w:szCs w:val="22"/>
              </w:rPr>
              <w:t xml:space="preserve"> This development was made possible through funds accessed via</w:t>
            </w:r>
            <w:r w:rsidRPr="00EA0440">
              <w:rPr>
                <w:rFonts w:cs="Arial"/>
                <w:color w:val="auto"/>
                <w:sz w:val="22"/>
                <w:szCs w:val="22"/>
              </w:rPr>
              <w:t xml:space="preserve"> the Healthier Futures Action Fund via Greener NHS</w:t>
            </w:r>
            <w:r>
              <w:rPr>
                <w:rFonts w:cs="Arial"/>
                <w:color w:val="auto"/>
                <w:sz w:val="22"/>
                <w:szCs w:val="22"/>
              </w:rPr>
              <w:t xml:space="preserve"> </w:t>
            </w:r>
            <w:r w:rsidRPr="00417B32">
              <w:rPr>
                <w:rFonts w:cs="Arial"/>
                <w:color w:val="auto"/>
                <w:sz w:val="22"/>
                <w:szCs w:val="22"/>
              </w:rPr>
              <w:t>​</w:t>
            </w:r>
            <w:r>
              <w:rPr>
                <w:rFonts w:cs="Arial"/>
                <w:color w:val="auto"/>
                <w:sz w:val="22"/>
                <w:szCs w:val="22"/>
              </w:rPr>
              <w:t xml:space="preserve"> </w:t>
            </w:r>
            <w:r w:rsidRPr="00417B32">
              <w:rPr>
                <w:rFonts w:cs="Arial"/>
                <w:color w:val="auto"/>
                <w:sz w:val="22"/>
                <w:szCs w:val="22"/>
              </w:rPr>
              <w:t xml:space="preserve">This marked a significant first for the Trust in its move to reduce its carbon footprint, and that of the wider system, as anaesthetic gases make up two per cent of the total NHS England footprint. </w:t>
            </w:r>
          </w:p>
          <w:p w14:paraId="3BDE9757" w14:textId="77777777" w:rsidR="00E87BAA" w:rsidRPr="00100E42" w:rsidRDefault="00E87BAA" w:rsidP="001C3FEF">
            <w:pPr>
              <w:spacing w:after="0" w:line="240" w:lineRule="auto"/>
              <w:contextualSpacing/>
              <w:textboxTightWrap w:val="none"/>
              <w:rPr>
                <w:rFonts w:cs="Arial"/>
                <w:b/>
                <w:bCs/>
                <w:color w:val="auto"/>
                <w:sz w:val="22"/>
                <w:szCs w:val="22"/>
              </w:rPr>
            </w:pPr>
          </w:p>
          <w:p w14:paraId="6560AA5D" w14:textId="77777777" w:rsidR="00E87BAA" w:rsidRPr="00100E42" w:rsidRDefault="00E87BAA" w:rsidP="001C3FEF">
            <w:pPr>
              <w:spacing w:after="0" w:line="240" w:lineRule="auto"/>
              <w:contextualSpacing/>
              <w:textboxTightWrap w:val="none"/>
              <w:rPr>
                <w:rFonts w:cs="Arial"/>
                <w:b/>
                <w:bCs/>
                <w:color w:val="auto"/>
                <w:sz w:val="22"/>
                <w:szCs w:val="22"/>
              </w:rPr>
            </w:pPr>
            <w:r w:rsidRPr="00100E42">
              <w:rPr>
                <w:rFonts w:cs="Arial"/>
                <w:b/>
                <w:bCs/>
                <w:color w:val="auto"/>
                <w:sz w:val="22"/>
                <w:szCs w:val="22"/>
              </w:rPr>
              <w:t>RUH Energy Efficiency Projects – Salix Funding</w:t>
            </w:r>
          </w:p>
          <w:p w14:paraId="48748FBF" w14:textId="77777777" w:rsidR="00E87BAA" w:rsidRPr="00417B32" w:rsidRDefault="00E87BAA" w:rsidP="001C3FEF">
            <w:pPr>
              <w:spacing w:after="0" w:line="240" w:lineRule="auto"/>
              <w:contextualSpacing/>
              <w:textboxTightWrap w:val="none"/>
              <w:rPr>
                <w:rFonts w:cs="Arial"/>
                <w:color w:val="auto"/>
                <w:sz w:val="22"/>
                <w:szCs w:val="22"/>
              </w:rPr>
            </w:pPr>
            <w:r>
              <w:rPr>
                <w:rFonts w:cs="Arial"/>
                <w:color w:val="auto"/>
                <w:sz w:val="22"/>
                <w:szCs w:val="22"/>
              </w:rPr>
              <w:t>In May 2024, t</w:t>
            </w:r>
            <w:r w:rsidRPr="00EA0440">
              <w:rPr>
                <w:rFonts w:cs="Arial"/>
                <w:color w:val="auto"/>
                <w:sz w:val="22"/>
                <w:szCs w:val="22"/>
              </w:rPr>
              <w:t>he</w:t>
            </w:r>
            <w:r>
              <w:rPr>
                <w:rFonts w:cs="Arial"/>
                <w:color w:val="auto"/>
                <w:sz w:val="22"/>
                <w:szCs w:val="22"/>
              </w:rPr>
              <w:t xml:space="preserve"> RUH received a </w:t>
            </w:r>
            <w:r w:rsidRPr="00EA0440">
              <w:rPr>
                <w:rFonts w:cs="Arial"/>
                <w:color w:val="auto"/>
                <w:sz w:val="22"/>
                <w:szCs w:val="22"/>
              </w:rPr>
              <w:t>£21.6m grant for energy efficiency projects</w:t>
            </w:r>
            <w:r>
              <w:rPr>
                <w:rFonts w:cs="Arial"/>
                <w:color w:val="auto"/>
                <w:sz w:val="22"/>
                <w:szCs w:val="22"/>
              </w:rPr>
              <w:t xml:space="preserve"> from the</w:t>
            </w:r>
            <w:r w:rsidRPr="00EA0440">
              <w:rPr>
                <w:rFonts w:cs="Arial"/>
                <w:color w:val="auto"/>
                <w:sz w:val="22"/>
                <w:szCs w:val="22"/>
              </w:rPr>
              <w:t xml:space="preserve"> Department for Energy Security and Net Zero as part of the Salix Public Sector Decarbonisation Scheme phase 3c</w:t>
            </w:r>
            <w:r>
              <w:rPr>
                <w:rFonts w:cs="Arial"/>
                <w:color w:val="auto"/>
                <w:sz w:val="22"/>
                <w:szCs w:val="22"/>
              </w:rPr>
              <w:t xml:space="preserve">. Much of the vital funding </w:t>
            </w:r>
            <w:r w:rsidRPr="00EA0440">
              <w:rPr>
                <w:rFonts w:cs="Arial"/>
                <w:color w:val="auto"/>
                <w:sz w:val="22"/>
                <w:szCs w:val="22"/>
              </w:rPr>
              <w:t>will be used to de-steam much of the RUH's 52-acre site, a process that will see the hospital's ageing heating systems replaced with more energy-efficient options such as heat pumps.</w:t>
            </w:r>
            <w:r>
              <w:rPr>
                <w:rFonts w:cs="Arial"/>
                <w:color w:val="auto"/>
                <w:sz w:val="22"/>
                <w:szCs w:val="22"/>
              </w:rPr>
              <w:t xml:space="preserve"> </w:t>
            </w:r>
            <w:r w:rsidRPr="00EA0440">
              <w:rPr>
                <w:rFonts w:cs="Arial"/>
                <w:color w:val="auto"/>
                <w:sz w:val="22"/>
                <w:szCs w:val="22"/>
              </w:rPr>
              <w:t>When the proposed improvements are completed, by 2026, they will result in an estimated 24% annual reduction in carbon emissions over which the RUH has direct control. This equates to just over 3,400 tonnes of carbon dioxide.</w:t>
            </w:r>
          </w:p>
          <w:p w14:paraId="3ABB63AF" w14:textId="77777777" w:rsidR="00E87BAA" w:rsidRPr="00417B32" w:rsidRDefault="00E87BAA" w:rsidP="001C3FEF">
            <w:pPr>
              <w:spacing w:after="0" w:line="240" w:lineRule="auto"/>
              <w:contextualSpacing/>
              <w:textboxTightWrap w:val="none"/>
              <w:rPr>
                <w:rFonts w:cs="Arial"/>
                <w:color w:val="auto"/>
                <w:sz w:val="22"/>
                <w:szCs w:val="22"/>
              </w:rPr>
            </w:pPr>
            <w:r w:rsidRPr="00417B32">
              <w:rPr>
                <w:rFonts w:cs="Arial"/>
                <w:color w:val="auto"/>
                <w:sz w:val="22"/>
                <w:szCs w:val="22"/>
              </w:rPr>
              <w:t>​</w:t>
            </w:r>
          </w:p>
          <w:p w14:paraId="17CE30E1" w14:textId="77777777" w:rsidR="00E87BAA" w:rsidRDefault="00E87BAA" w:rsidP="001C3FEF">
            <w:pPr>
              <w:spacing w:after="0" w:line="240" w:lineRule="auto"/>
              <w:contextualSpacing/>
              <w:textboxTightWrap w:val="none"/>
              <w:rPr>
                <w:rFonts w:cs="Arial"/>
                <w:color w:val="auto"/>
                <w:sz w:val="22"/>
                <w:szCs w:val="22"/>
              </w:rPr>
            </w:pPr>
            <w:r w:rsidRPr="00417B32">
              <w:rPr>
                <w:rFonts w:cs="Arial"/>
                <w:color w:val="auto"/>
                <w:sz w:val="22"/>
                <w:szCs w:val="22"/>
              </w:rPr>
              <w:t>These measures will not only support us on our journey to achieving Net Zero; but will also ensure our estate remains sustainable for years to come.​</w:t>
            </w:r>
          </w:p>
          <w:p w14:paraId="1C8317FD" w14:textId="77777777" w:rsidR="00E87BAA" w:rsidRPr="00417B32" w:rsidRDefault="00E87BAA" w:rsidP="001C3FEF">
            <w:pPr>
              <w:spacing w:after="0" w:line="240" w:lineRule="auto"/>
              <w:contextualSpacing/>
              <w:textboxTightWrap w:val="none"/>
              <w:rPr>
                <w:rFonts w:cs="Arial"/>
                <w:color w:val="auto"/>
                <w:sz w:val="22"/>
                <w:szCs w:val="22"/>
              </w:rPr>
            </w:pPr>
          </w:p>
        </w:tc>
      </w:tr>
    </w:tbl>
    <w:p w14:paraId="6A51A198" w14:textId="77777777" w:rsidR="00B369F7" w:rsidRDefault="00B369F7" w:rsidP="00351976">
      <w:pPr>
        <w:rPr>
          <w:rFonts w:cs="Arial"/>
          <w:b/>
          <w:bCs/>
          <w:color w:val="auto"/>
        </w:rPr>
      </w:pPr>
    </w:p>
    <w:p w14:paraId="24337946" w14:textId="77777777" w:rsidR="00B369F7" w:rsidRDefault="00B369F7" w:rsidP="00351976">
      <w:pPr>
        <w:rPr>
          <w:rFonts w:cs="Arial"/>
          <w:b/>
          <w:bCs/>
          <w:color w:val="auto"/>
        </w:rPr>
      </w:pPr>
    </w:p>
    <w:p w14:paraId="65F9D806" w14:textId="77777777" w:rsidR="004D307D" w:rsidRDefault="004D307D" w:rsidP="00351976">
      <w:pPr>
        <w:rPr>
          <w:rFonts w:cs="Arial"/>
          <w:b/>
          <w:bCs/>
          <w:color w:val="auto"/>
        </w:rPr>
      </w:pPr>
    </w:p>
    <w:p w14:paraId="421A9D5D" w14:textId="77777777" w:rsidR="00B25481" w:rsidRDefault="00B25481" w:rsidP="00351976">
      <w:pPr>
        <w:rPr>
          <w:rFonts w:cs="Arial"/>
          <w:b/>
          <w:bCs/>
          <w:color w:val="auto"/>
        </w:rPr>
      </w:pPr>
    </w:p>
    <w:p w14:paraId="14048A6A" w14:textId="77777777" w:rsidR="004C7A21" w:rsidRDefault="004C7A21" w:rsidP="00351976">
      <w:pPr>
        <w:rPr>
          <w:rFonts w:cs="Arial"/>
          <w:b/>
          <w:bCs/>
          <w:color w:val="auto"/>
        </w:rPr>
      </w:pPr>
    </w:p>
    <w:p w14:paraId="17F22A17" w14:textId="77777777" w:rsidR="004C7A21" w:rsidRDefault="004C7A21" w:rsidP="00351976">
      <w:pPr>
        <w:rPr>
          <w:rFonts w:cs="Arial"/>
          <w:b/>
          <w:bCs/>
          <w:color w:val="auto"/>
        </w:rPr>
      </w:pPr>
    </w:p>
    <w:p w14:paraId="2A4B30DF" w14:textId="77777777" w:rsidR="004C7A21" w:rsidRDefault="004C7A21" w:rsidP="00351976">
      <w:pPr>
        <w:rPr>
          <w:rFonts w:cs="Arial"/>
          <w:b/>
          <w:bCs/>
          <w:color w:val="auto"/>
        </w:rPr>
      </w:pPr>
    </w:p>
    <w:p w14:paraId="4F7DC725" w14:textId="6BA49D05" w:rsidR="00681BB0" w:rsidRPr="00B91191" w:rsidRDefault="00394ED7">
      <w:pPr>
        <w:rPr>
          <w:b/>
          <w:bCs/>
        </w:rPr>
      </w:pPr>
      <w:r w:rsidRPr="00B91191">
        <w:rPr>
          <w:b/>
          <w:bCs/>
        </w:rPr>
        <w:t>System CDEL – Appendix B</w:t>
      </w:r>
    </w:p>
    <w:p w14:paraId="1A8138D8" w14:textId="29AC4672" w:rsidR="00681BB0" w:rsidRDefault="00394ED7">
      <w:r w:rsidRPr="00394ED7">
        <w:rPr>
          <w:noProof/>
        </w:rPr>
        <w:drawing>
          <wp:inline distT="0" distB="0" distL="0" distR="0" wp14:anchorId="0857D336" wp14:editId="30EA5C5E">
            <wp:extent cx="9395460" cy="4152900"/>
            <wp:effectExtent l="0" t="0" r="0" b="0"/>
            <wp:docPr id="9041218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21855"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5460" cy="4152900"/>
                    </a:xfrm>
                    <a:prstGeom prst="rect">
                      <a:avLst/>
                    </a:prstGeom>
                    <a:noFill/>
                    <a:ln>
                      <a:noFill/>
                    </a:ln>
                  </pic:spPr>
                </pic:pic>
              </a:graphicData>
            </a:graphic>
          </wp:inline>
        </w:drawing>
      </w:r>
    </w:p>
    <w:sectPr w:rsidR="00681BB0" w:rsidSect="00100E42">
      <w:pgSz w:w="16838" w:h="11906" w:orient="landscape"/>
      <w:pgMar w:top="1021" w:right="1021" w:bottom="1021" w:left="1021" w:header="454" w:footer="5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4B48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398C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A5F24"/>
    <w:multiLevelType w:val="hybridMultilevel"/>
    <w:tmpl w:val="4EA6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251BF"/>
    <w:multiLevelType w:val="hybridMultilevel"/>
    <w:tmpl w:val="9360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D0B99"/>
    <w:multiLevelType w:val="hybridMultilevel"/>
    <w:tmpl w:val="3444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2BC8"/>
    <w:multiLevelType w:val="hybridMultilevel"/>
    <w:tmpl w:val="B0DC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1630E"/>
    <w:multiLevelType w:val="hybridMultilevel"/>
    <w:tmpl w:val="B090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0319A"/>
    <w:multiLevelType w:val="hybridMultilevel"/>
    <w:tmpl w:val="DF2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D13DA"/>
    <w:multiLevelType w:val="hybridMultilevel"/>
    <w:tmpl w:val="793EAAE6"/>
    <w:lvl w:ilvl="0" w:tplc="4476F47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D351B"/>
    <w:multiLevelType w:val="hybridMultilevel"/>
    <w:tmpl w:val="22AE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B1690"/>
    <w:multiLevelType w:val="hybridMultilevel"/>
    <w:tmpl w:val="69AECD20"/>
    <w:lvl w:ilvl="0" w:tplc="4476F47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B0EF8"/>
    <w:multiLevelType w:val="hybridMultilevel"/>
    <w:tmpl w:val="F0AC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62051"/>
    <w:multiLevelType w:val="hybridMultilevel"/>
    <w:tmpl w:val="32A6955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A64595"/>
    <w:multiLevelType w:val="hybridMultilevel"/>
    <w:tmpl w:val="C95EB508"/>
    <w:lvl w:ilvl="0" w:tplc="4476F47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4504E"/>
    <w:multiLevelType w:val="hybridMultilevel"/>
    <w:tmpl w:val="22E0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56450"/>
    <w:multiLevelType w:val="multilevel"/>
    <w:tmpl w:val="2FF07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A57F36"/>
    <w:multiLevelType w:val="hybridMultilevel"/>
    <w:tmpl w:val="0F7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B573A"/>
    <w:multiLevelType w:val="hybridMultilevel"/>
    <w:tmpl w:val="1B3C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F62F5"/>
    <w:multiLevelType w:val="hybridMultilevel"/>
    <w:tmpl w:val="29C00D72"/>
    <w:lvl w:ilvl="0" w:tplc="4476F47C">
      <w:start w:val="1"/>
      <w:numFmt w:val="bullet"/>
      <w:lvlText w:val="•"/>
      <w:lvlJc w:val="left"/>
      <w:pPr>
        <w:tabs>
          <w:tab w:val="num" w:pos="720"/>
        </w:tabs>
        <w:ind w:left="720" w:hanging="360"/>
      </w:pPr>
      <w:rPr>
        <w:rFonts w:ascii="Arial" w:hAnsi="Arial" w:hint="default"/>
      </w:rPr>
    </w:lvl>
    <w:lvl w:ilvl="1" w:tplc="017A15E0" w:tentative="1">
      <w:start w:val="1"/>
      <w:numFmt w:val="bullet"/>
      <w:lvlText w:val="•"/>
      <w:lvlJc w:val="left"/>
      <w:pPr>
        <w:tabs>
          <w:tab w:val="num" w:pos="1440"/>
        </w:tabs>
        <w:ind w:left="1440" w:hanging="360"/>
      </w:pPr>
      <w:rPr>
        <w:rFonts w:ascii="Arial" w:hAnsi="Arial" w:hint="default"/>
      </w:rPr>
    </w:lvl>
    <w:lvl w:ilvl="2" w:tplc="A45CD62A" w:tentative="1">
      <w:start w:val="1"/>
      <w:numFmt w:val="bullet"/>
      <w:lvlText w:val="•"/>
      <w:lvlJc w:val="left"/>
      <w:pPr>
        <w:tabs>
          <w:tab w:val="num" w:pos="2160"/>
        </w:tabs>
        <w:ind w:left="2160" w:hanging="360"/>
      </w:pPr>
      <w:rPr>
        <w:rFonts w:ascii="Arial" w:hAnsi="Arial" w:hint="default"/>
      </w:rPr>
    </w:lvl>
    <w:lvl w:ilvl="3" w:tplc="B4B283D2" w:tentative="1">
      <w:start w:val="1"/>
      <w:numFmt w:val="bullet"/>
      <w:lvlText w:val="•"/>
      <w:lvlJc w:val="left"/>
      <w:pPr>
        <w:tabs>
          <w:tab w:val="num" w:pos="2880"/>
        </w:tabs>
        <w:ind w:left="2880" w:hanging="360"/>
      </w:pPr>
      <w:rPr>
        <w:rFonts w:ascii="Arial" w:hAnsi="Arial" w:hint="default"/>
      </w:rPr>
    </w:lvl>
    <w:lvl w:ilvl="4" w:tplc="89B8D4B2" w:tentative="1">
      <w:start w:val="1"/>
      <w:numFmt w:val="bullet"/>
      <w:lvlText w:val="•"/>
      <w:lvlJc w:val="left"/>
      <w:pPr>
        <w:tabs>
          <w:tab w:val="num" w:pos="3600"/>
        </w:tabs>
        <w:ind w:left="3600" w:hanging="360"/>
      </w:pPr>
      <w:rPr>
        <w:rFonts w:ascii="Arial" w:hAnsi="Arial" w:hint="default"/>
      </w:rPr>
    </w:lvl>
    <w:lvl w:ilvl="5" w:tplc="60D64E72" w:tentative="1">
      <w:start w:val="1"/>
      <w:numFmt w:val="bullet"/>
      <w:lvlText w:val="•"/>
      <w:lvlJc w:val="left"/>
      <w:pPr>
        <w:tabs>
          <w:tab w:val="num" w:pos="4320"/>
        </w:tabs>
        <w:ind w:left="4320" w:hanging="360"/>
      </w:pPr>
      <w:rPr>
        <w:rFonts w:ascii="Arial" w:hAnsi="Arial" w:hint="default"/>
      </w:rPr>
    </w:lvl>
    <w:lvl w:ilvl="6" w:tplc="E9D2E0CE" w:tentative="1">
      <w:start w:val="1"/>
      <w:numFmt w:val="bullet"/>
      <w:lvlText w:val="•"/>
      <w:lvlJc w:val="left"/>
      <w:pPr>
        <w:tabs>
          <w:tab w:val="num" w:pos="5040"/>
        </w:tabs>
        <w:ind w:left="5040" w:hanging="360"/>
      </w:pPr>
      <w:rPr>
        <w:rFonts w:ascii="Arial" w:hAnsi="Arial" w:hint="default"/>
      </w:rPr>
    </w:lvl>
    <w:lvl w:ilvl="7" w:tplc="BF583828" w:tentative="1">
      <w:start w:val="1"/>
      <w:numFmt w:val="bullet"/>
      <w:lvlText w:val="•"/>
      <w:lvlJc w:val="left"/>
      <w:pPr>
        <w:tabs>
          <w:tab w:val="num" w:pos="5760"/>
        </w:tabs>
        <w:ind w:left="5760" w:hanging="360"/>
      </w:pPr>
      <w:rPr>
        <w:rFonts w:ascii="Arial" w:hAnsi="Arial" w:hint="default"/>
      </w:rPr>
    </w:lvl>
    <w:lvl w:ilvl="8" w:tplc="D82CCB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4D2A6E"/>
    <w:multiLevelType w:val="hybridMultilevel"/>
    <w:tmpl w:val="1194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232C4"/>
    <w:multiLevelType w:val="hybridMultilevel"/>
    <w:tmpl w:val="79C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85C44"/>
    <w:multiLevelType w:val="hybridMultilevel"/>
    <w:tmpl w:val="509E229C"/>
    <w:lvl w:ilvl="0" w:tplc="4476F47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358E1"/>
    <w:multiLevelType w:val="hybridMultilevel"/>
    <w:tmpl w:val="DD94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C0FE2"/>
    <w:multiLevelType w:val="hybridMultilevel"/>
    <w:tmpl w:val="F78C4332"/>
    <w:lvl w:ilvl="0" w:tplc="4476F47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26563"/>
    <w:multiLevelType w:val="hybridMultilevel"/>
    <w:tmpl w:val="8A8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A1444"/>
    <w:multiLevelType w:val="hybridMultilevel"/>
    <w:tmpl w:val="4C0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C2865"/>
    <w:multiLevelType w:val="multilevel"/>
    <w:tmpl w:val="B546F2C8"/>
    <w:lvl w:ilvl="0">
      <w:start w:val="1"/>
      <w:numFmt w:val="bullet"/>
      <w:lvlText w:val=""/>
      <w:lvlJc w:val="left"/>
      <w:pPr>
        <w:tabs>
          <w:tab w:val="num" w:pos="-1568"/>
        </w:tabs>
        <w:ind w:left="-1568" w:hanging="360"/>
      </w:pPr>
      <w:rPr>
        <w:rFonts w:ascii="Symbol" w:hAnsi="Symbol" w:hint="default"/>
        <w:sz w:val="20"/>
      </w:rPr>
    </w:lvl>
    <w:lvl w:ilvl="1" w:tentative="1">
      <w:start w:val="1"/>
      <w:numFmt w:val="bullet"/>
      <w:lvlText w:val=""/>
      <w:lvlJc w:val="left"/>
      <w:pPr>
        <w:tabs>
          <w:tab w:val="num" w:pos="-848"/>
        </w:tabs>
        <w:ind w:left="-848" w:hanging="360"/>
      </w:pPr>
      <w:rPr>
        <w:rFonts w:ascii="Symbol" w:hAnsi="Symbol" w:hint="default"/>
        <w:sz w:val="20"/>
      </w:rPr>
    </w:lvl>
    <w:lvl w:ilvl="2" w:tentative="1">
      <w:start w:val="1"/>
      <w:numFmt w:val="bullet"/>
      <w:lvlText w:val=""/>
      <w:lvlJc w:val="left"/>
      <w:pPr>
        <w:tabs>
          <w:tab w:val="num" w:pos="-128"/>
        </w:tabs>
        <w:ind w:left="-128" w:hanging="360"/>
      </w:pPr>
      <w:rPr>
        <w:rFonts w:ascii="Symbol" w:hAnsi="Symbol" w:hint="default"/>
        <w:sz w:val="20"/>
      </w:rPr>
    </w:lvl>
    <w:lvl w:ilvl="3" w:tentative="1">
      <w:start w:val="1"/>
      <w:numFmt w:val="bullet"/>
      <w:lvlText w:val=""/>
      <w:lvlJc w:val="left"/>
      <w:pPr>
        <w:tabs>
          <w:tab w:val="num" w:pos="592"/>
        </w:tabs>
        <w:ind w:left="592" w:hanging="360"/>
      </w:pPr>
      <w:rPr>
        <w:rFonts w:ascii="Symbol" w:hAnsi="Symbol" w:hint="default"/>
        <w:sz w:val="20"/>
      </w:rPr>
    </w:lvl>
    <w:lvl w:ilvl="4" w:tentative="1">
      <w:start w:val="1"/>
      <w:numFmt w:val="bullet"/>
      <w:lvlText w:val=""/>
      <w:lvlJc w:val="left"/>
      <w:pPr>
        <w:tabs>
          <w:tab w:val="num" w:pos="1312"/>
        </w:tabs>
        <w:ind w:left="1312" w:hanging="360"/>
      </w:pPr>
      <w:rPr>
        <w:rFonts w:ascii="Symbol" w:hAnsi="Symbol" w:hint="default"/>
        <w:sz w:val="20"/>
      </w:rPr>
    </w:lvl>
    <w:lvl w:ilvl="5" w:tentative="1">
      <w:start w:val="1"/>
      <w:numFmt w:val="bullet"/>
      <w:lvlText w:val=""/>
      <w:lvlJc w:val="left"/>
      <w:pPr>
        <w:tabs>
          <w:tab w:val="num" w:pos="2032"/>
        </w:tabs>
        <w:ind w:left="2032" w:hanging="360"/>
      </w:pPr>
      <w:rPr>
        <w:rFonts w:ascii="Symbol" w:hAnsi="Symbol" w:hint="default"/>
        <w:sz w:val="20"/>
      </w:rPr>
    </w:lvl>
    <w:lvl w:ilvl="6" w:tentative="1">
      <w:start w:val="1"/>
      <w:numFmt w:val="bullet"/>
      <w:lvlText w:val=""/>
      <w:lvlJc w:val="left"/>
      <w:pPr>
        <w:tabs>
          <w:tab w:val="num" w:pos="2752"/>
        </w:tabs>
        <w:ind w:left="2752" w:hanging="360"/>
      </w:pPr>
      <w:rPr>
        <w:rFonts w:ascii="Symbol" w:hAnsi="Symbol" w:hint="default"/>
        <w:sz w:val="20"/>
      </w:rPr>
    </w:lvl>
    <w:lvl w:ilvl="7" w:tentative="1">
      <w:start w:val="1"/>
      <w:numFmt w:val="bullet"/>
      <w:lvlText w:val=""/>
      <w:lvlJc w:val="left"/>
      <w:pPr>
        <w:tabs>
          <w:tab w:val="num" w:pos="3472"/>
        </w:tabs>
        <w:ind w:left="3472" w:hanging="360"/>
      </w:pPr>
      <w:rPr>
        <w:rFonts w:ascii="Symbol" w:hAnsi="Symbol" w:hint="default"/>
        <w:sz w:val="20"/>
      </w:rPr>
    </w:lvl>
    <w:lvl w:ilvl="8" w:tentative="1">
      <w:start w:val="1"/>
      <w:numFmt w:val="bullet"/>
      <w:lvlText w:val=""/>
      <w:lvlJc w:val="left"/>
      <w:pPr>
        <w:tabs>
          <w:tab w:val="num" w:pos="4192"/>
        </w:tabs>
        <w:ind w:left="4192" w:hanging="360"/>
      </w:pPr>
      <w:rPr>
        <w:rFonts w:ascii="Symbol" w:hAnsi="Symbol" w:hint="default"/>
        <w:sz w:val="20"/>
      </w:rPr>
    </w:lvl>
  </w:abstractNum>
  <w:abstractNum w:abstractNumId="27" w15:restartNumberingAfterBreak="0">
    <w:nsid w:val="58A7543C"/>
    <w:multiLevelType w:val="hybridMultilevel"/>
    <w:tmpl w:val="B40A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D6BA9"/>
    <w:multiLevelType w:val="hybridMultilevel"/>
    <w:tmpl w:val="E186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144116">
    <w:abstractNumId w:val="28"/>
  </w:num>
  <w:num w:numId="2" w16cid:durableId="1413968820">
    <w:abstractNumId w:val="7"/>
  </w:num>
  <w:num w:numId="3" w16cid:durableId="2068644195">
    <w:abstractNumId w:val="27"/>
  </w:num>
  <w:num w:numId="4" w16cid:durableId="941034110">
    <w:abstractNumId w:val="14"/>
  </w:num>
  <w:num w:numId="5" w16cid:durableId="1350714437">
    <w:abstractNumId w:val="25"/>
  </w:num>
  <w:num w:numId="6" w16cid:durableId="1480533346">
    <w:abstractNumId w:val="24"/>
  </w:num>
  <w:num w:numId="7" w16cid:durableId="816922572">
    <w:abstractNumId w:val="16"/>
  </w:num>
  <w:num w:numId="8" w16cid:durableId="852115450">
    <w:abstractNumId w:val="5"/>
  </w:num>
  <w:num w:numId="9" w16cid:durableId="252324807">
    <w:abstractNumId w:val="11"/>
  </w:num>
  <w:num w:numId="10" w16cid:durableId="681736671">
    <w:abstractNumId w:val="17"/>
  </w:num>
  <w:num w:numId="11" w16cid:durableId="333384788">
    <w:abstractNumId w:val="15"/>
  </w:num>
  <w:num w:numId="12" w16cid:durableId="1204367228">
    <w:abstractNumId w:val="26"/>
  </w:num>
  <w:num w:numId="13" w16cid:durableId="515655731">
    <w:abstractNumId w:val="3"/>
  </w:num>
  <w:num w:numId="14" w16cid:durableId="1181504811">
    <w:abstractNumId w:val="18"/>
  </w:num>
  <w:num w:numId="15" w16cid:durableId="138544010">
    <w:abstractNumId w:val="2"/>
  </w:num>
  <w:num w:numId="16" w16cid:durableId="1129395167">
    <w:abstractNumId w:val="0"/>
  </w:num>
  <w:num w:numId="17" w16cid:durableId="1929728726">
    <w:abstractNumId w:val="12"/>
  </w:num>
  <w:num w:numId="18" w16cid:durableId="1877349774">
    <w:abstractNumId w:val="9"/>
  </w:num>
  <w:num w:numId="19" w16cid:durableId="2088767492">
    <w:abstractNumId w:val="1"/>
  </w:num>
  <w:num w:numId="20" w16cid:durableId="450246506">
    <w:abstractNumId w:val="6"/>
  </w:num>
  <w:num w:numId="21" w16cid:durableId="1936479275">
    <w:abstractNumId w:val="22"/>
  </w:num>
  <w:num w:numId="22" w16cid:durableId="1347554849">
    <w:abstractNumId w:val="20"/>
  </w:num>
  <w:num w:numId="23" w16cid:durableId="399599593">
    <w:abstractNumId w:val="4"/>
  </w:num>
  <w:num w:numId="24" w16cid:durableId="843130697">
    <w:abstractNumId w:val="21"/>
  </w:num>
  <w:num w:numId="25" w16cid:durableId="2136437264">
    <w:abstractNumId w:val="8"/>
  </w:num>
  <w:num w:numId="26" w16cid:durableId="1267034636">
    <w:abstractNumId w:val="10"/>
  </w:num>
  <w:num w:numId="27" w16cid:durableId="78528506">
    <w:abstractNumId w:val="13"/>
  </w:num>
  <w:num w:numId="28" w16cid:durableId="625240389">
    <w:abstractNumId w:val="23"/>
  </w:num>
  <w:num w:numId="29" w16cid:durableId="6376834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76"/>
    <w:rsid w:val="00000BFD"/>
    <w:rsid w:val="000062B8"/>
    <w:rsid w:val="000120E2"/>
    <w:rsid w:val="000152C7"/>
    <w:rsid w:val="0001783A"/>
    <w:rsid w:val="00027244"/>
    <w:rsid w:val="00036AB0"/>
    <w:rsid w:val="00041483"/>
    <w:rsid w:val="00042476"/>
    <w:rsid w:val="000501AD"/>
    <w:rsid w:val="000566A6"/>
    <w:rsid w:val="00057759"/>
    <w:rsid w:val="000746FA"/>
    <w:rsid w:val="00083484"/>
    <w:rsid w:val="00091E09"/>
    <w:rsid w:val="0009771A"/>
    <w:rsid w:val="000A0951"/>
    <w:rsid w:val="000A1938"/>
    <w:rsid w:val="000A52E6"/>
    <w:rsid w:val="000A7591"/>
    <w:rsid w:val="000A7BFE"/>
    <w:rsid w:val="000B5203"/>
    <w:rsid w:val="000D4DD8"/>
    <w:rsid w:val="000E0845"/>
    <w:rsid w:val="000E4AB1"/>
    <w:rsid w:val="000F59AF"/>
    <w:rsid w:val="000F6656"/>
    <w:rsid w:val="00100E42"/>
    <w:rsid w:val="00101146"/>
    <w:rsid w:val="00105EAB"/>
    <w:rsid w:val="001079B0"/>
    <w:rsid w:val="00114382"/>
    <w:rsid w:val="001175B2"/>
    <w:rsid w:val="001275F0"/>
    <w:rsid w:val="00142B7B"/>
    <w:rsid w:val="0014315B"/>
    <w:rsid w:val="00151639"/>
    <w:rsid w:val="00152D12"/>
    <w:rsid w:val="00154245"/>
    <w:rsid w:val="00177BD1"/>
    <w:rsid w:val="0018050F"/>
    <w:rsid w:val="001827AC"/>
    <w:rsid w:val="001931F5"/>
    <w:rsid w:val="001A59D6"/>
    <w:rsid w:val="001A6955"/>
    <w:rsid w:val="001C630D"/>
    <w:rsid w:val="001D15C2"/>
    <w:rsid w:val="001D311E"/>
    <w:rsid w:val="001D316F"/>
    <w:rsid w:val="001E139D"/>
    <w:rsid w:val="001E1FF2"/>
    <w:rsid w:val="00203E43"/>
    <w:rsid w:val="00211635"/>
    <w:rsid w:val="00221359"/>
    <w:rsid w:val="00226BC5"/>
    <w:rsid w:val="00230F4B"/>
    <w:rsid w:val="002417D4"/>
    <w:rsid w:val="0024375C"/>
    <w:rsid w:val="00251FA9"/>
    <w:rsid w:val="00252D3B"/>
    <w:rsid w:val="002543B2"/>
    <w:rsid w:val="0026346D"/>
    <w:rsid w:val="002673BE"/>
    <w:rsid w:val="002740E1"/>
    <w:rsid w:val="00294512"/>
    <w:rsid w:val="002950BB"/>
    <w:rsid w:val="002A3421"/>
    <w:rsid w:val="002A670A"/>
    <w:rsid w:val="002B4184"/>
    <w:rsid w:val="002C25A7"/>
    <w:rsid w:val="002C27A6"/>
    <w:rsid w:val="002D324A"/>
    <w:rsid w:val="002E1599"/>
    <w:rsid w:val="002F5655"/>
    <w:rsid w:val="00303210"/>
    <w:rsid w:val="00303A47"/>
    <w:rsid w:val="00306631"/>
    <w:rsid w:val="00315A86"/>
    <w:rsid w:val="00315B93"/>
    <w:rsid w:val="00315FCF"/>
    <w:rsid w:val="003164D1"/>
    <w:rsid w:val="0031756D"/>
    <w:rsid w:val="0032091E"/>
    <w:rsid w:val="00320D69"/>
    <w:rsid w:val="00325DDB"/>
    <w:rsid w:val="00330373"/>
    <w:rsid w:val="003459A1"/>
    <w:rsid w:val="00351976"/>
    <w:rsid w:val="00354B13"/>
    <w:rsid w:val="003575C1"/>
    <w:rsid w:val="003577AD"/>
    <w:rsid w:val="00357DE7"/>
    <w:rsid w:val="00365D97"/>
    <w:rsid w:val="00393615"/>
    <w:rsid w:val="00394ED7"/>
    <w:rsid w:val="003A063E"/>
    <w:rsid w:val="003A49B5"/>
    <w:rsid w:val="003B3900"/>
    <w:rsid w:val="003B76C3"/>
    <w:rsid w:val="003D641A"/>
    <w:rsid w:val="003D6FDF"/>
    <w:rsid w:val="003E1FA3"/>
    <w:rsid w:val="003E433F"/>
    <w:rsid w:val="003F4771"/>
    <w:rsid w:val="004041FA"/>
    <w:rsid w:val="0040715C"/>
    <w:rsid w:val="0041275B"/>
    <w:rsid w:val="004166EF"/>
    <w:rsid w:val="00416B8C"/>
    <w:rsid w:val="00417B32"/>
    <w:rsid w:val="0042291E"/>
    <w:rsid w:val="00433894"/>
    <w:rsid w:val="00433CB9"/>
    <w:rsid w:val="004412ED"/>
    <w:rsid w:val="00441F5C"/>
    <w:rsid w:val="00451A0D"/>
    <w:rsid w:val="00464CBF"/>
    <w:rsid w:val="004654EA"/>
    <w:rsid w:val="00465DFC"/>
    <w:rsid w:val="00472B79"/>
    <w:rsid w:val="00473ACE"/>
    <w:rsid w:val="004754BA"/>
    <w:rsid w:val="00477F13"/>
    <w:rsid w:val="00485646"/>
    <w:rsid w:val="004B01A9"/>
    <w:rsid w:val="004B3A8F"/>
    <w:rsid w:val="004B3CD7"/>
    <w:rsid w:val="004B7A52"/>
    <w:rsid w:val="004C14A4"/>
    <w:rsid w:val="004C7A21"/>
    <w:rsid w:val="004D307D"/>
    <w:rsid w:val="004D5E28"/>
    <w:rsid w:val="004E4AFE"/>
    <w:rsid w:val="004E66C7"/>
    <w:rsid w:val="00500AC8"/>
    <w:rsid w:val="00511565"/>
    <w:rsid w:val="005241B3"/>
    <w:rsid w:val="00531CE4"/>
    <w:rsid w:val="00540A98"/>
    <w:rsid w:val="00542C75"/>
    <w:rsid w:val="005466E7"/>
    <w:rsid w:val="00557524"/>
    <w:rsid w:val="0056585C"/>
    <w:rsid w:val="0057070D"/>
    <w:rsid w:val="005724DC"/>
    <w:rsid w:val="00585F7B"/>
    <w:rsid w:val="00587EE2"/>
    <w:rsid w:val="005B37DA"/>
    <w:rsid w:val="005C7D11"/>
    <w:rsid w:val="005E022F"/>
    <w:rsid w:val="005E62EE"/>
    <w:rsid w:val="006052B2"/>
    <w:rsid w:val="00606F21"/>
    <w:rsid w:val="006116DB"/>
    <w:rsid w:val="00616BAB"/>
    <w:rsid w:val="00623B67"/>
    <w:rsid w:val="0062598B"/>
    <w:rsid w:val="00641386"/>
    <w:rsid w:val="00650597"/>
    <w:rsid w:val="00654F7A"/>
    <w:rsid w:val="00655956"/>
    <w:rsid w:val="00665A36"/>
    <w:rsid w:val="006662BC"/>
    <w:rsid w:val="00673196"/>
    <w:rsid w:val="0067493A"/>
    <w:rsid w:val="00681BB0"/>
    <w:rsid w:val="00684CFC"/>
    <w:rsid w:val="00694916"/>
    <w:rsid w:val="006A6BF2"/>
    <w:rsid w:val="006C5C84"/>
    <w:rsid w:val="006D205A"/>
    <w:rsid w:val="006D3FF0"/>
    <w:rsid w:val="006D6071"/>
    <w:rsid w:val="006E1CFF"/>
    <w:rsid w:val="006E74B1"/>
    <w:rsid w:val="006F3320"/>
    <w:rsid w:val="006F35F8"/>
    <w:rsid w:val="006F7BCD"/>
    <w:rsid w:val="007033E3"/>
    <w:rsid w:val="00710EFD"/>
    <w:rsid w:val="00725959"/>
    <w:rsid w:val="00736BD3"/>
    <w:rsid w:val="007370F8"/>
    <w:rsid w:val="00740954"/>
    <w:rsid w:val="00742793"/>
    <w:rsid w:val="00745F12"/>
    <w:rsid w:val="00760629"/>
    <w:rsid w:val="00760F71"/>
    <w:rsid w:val="00771D90"/>
    <w:rsid w:val="00773979"/>
    <w:rsid w:val="00773EF2"/>
    <w:rsid w:val="00780957"/>
    <w:rsid w:val="00780F84"/>
    <w:rsid w:val="0078598E"/>
    <w:rsid w:val="00797663"/>
    <w:rsid w:val="007A7FDF"/>
    <w:rsid w:val="007C1E37"/>
    <w:rsid w:val="007C5A89"/>
    <w:rsid w:val="007D7BC4"/>
    <w:rsid w:val="007D7D70"/>
    <w:rsid w:val="00811D81"/>
    <w:rsid w:val="00812D2D"/>
    <w:rsid w:val="00820C52"/>
    <w:rsid w:val="00832BB5"/>
    <w:rsid w:val="00833119"/>
    <w:rsid w:val="008351DB"/>
    <w:rsid w:val="00837C7C"/>
    <w:rsid w:val="00842FB8"/>
    <w:rsid w:val="008440C3"/>
    <w:rsid w:val="00846D2D"/>
    <w:rsid w:val="008478A4"/>
    <w:rsid w:val="0086687A"/>
    <w:rsid w:val="00872191"/>
    <w:rsid w:val="008745FA"/>
    <w:rsid w:val="008873C5"/>
    <w:rsid w:val="00893B55"/>
    <w:rsid w:val="00894B6A"/>
    <w:rsid w:val="008A0F2D"/>
    <w:rsid w:val="008B1866"/>
    <w:rsid w:val="008B38BE"/>
    <w:rsid w:val="008B46F3"/>
    <w:rsid w:val="008B587B"/>
    <w:rsid w:val="008C5E99"/>
    <w:rsid w:val="008D33FD"/>
    <w:rsid w:val="008D48EE"/>
    <w:rsid w:val="008E253F"/>
    <w:rsid w:val="008F36EE"/>
    <w:rsid w:val="008F7DB4"/>
    <w:rsid w:val="00914021"/>
    <w:rsid w:val="009209A4"/>
    <w:rsid w:val="00924A62"/>
    <w:rsid w:val="00934091"/>
    <w:rsid w:val="009342BB"/>
    <w:rsid w:val="009349C2"/>
    <w:rsid w:val="00935043"/>
    <w:rsid w:val="00935120"/>
    <w:rsid w:val="009366F3"/>
    <w:rsid w:val="00941F55"/>
    <w:rsid w:val="00951FA7"/>
    <w:rsid w:val="00953A0B"/>
    <w:rsid w:val="00954CCE"/>
    <w:rsid w:val="00962801"/>
    <w:rsid w:val="009720B0"/>
    <w:rsid w:val="00975D68"/>
    <w:rsid w:val="00976925"/>
    <w:rsid w:val="00984961"/>
    <w:rsid w:val="00985DEC"/>
    <w:rsid w:val="00990C93"/>
    <w:rsid w:val="00997B8C"/>
    <w:rsid w:val="009B1067"/>
    <w:rsid w:val="009B1323"/>
    <w:rsid w:val="009B4014"/>
    <w:rsid w:val="009B58F7"/>
    <w:rsid w:val="009C7ED9"/>
    <w:rsid w:val="009D2433"/>
    <w:rsid w:val="009F5E24"/>
    <w:rsid w:val="00A0081D"/>
    <w:rsid w:val="00A128ED"/>
    <w:rsid w:val="00A1739B"/>
    <w:rsid w:val="00A3264B"/>
    <w:rsid w:val="00A37DED"/>
    <w:rsid w:val="00A67F11"/>
    <w:rsid w:val="00A72444"/>
    <w:rsid w:val="00A87784"/>
    <w:rsid w:val="00AA6272"/>
    <w:rsid w:val="00AB33A0"/>
    <w:rsid w:val="00AB5BCB"/>
    <w:rsid w:val="00AC6B39"/>
    <w:rsid w:val="00AD43E2"/>
    <w:rsid w:val="00AD4665"/>
    <w:rsid w:val="00AE4B04"/>
    <w:rsid w:val="00AF0A78"/>
    <w:rsid w:val="00B016A9"/>
    <w:rsid w:val="00B03EA0"/>
    <w:rsid w:val="00B04546"/>
    <w:rsid w:val="00B161F1"/>
    <w:rsid w:val="00B2199C"/>
    <w:rsid w:val="00B229A5"/>
    <w:rsid w:val="00B252DD"/>
    <w:rsid w:val="00B25481"/>
    <w:rsid w:val="00B26804"/>
    <w:rsid w:val="00B26F11"/>
    <w:rsid w:val="00B32145"/>
    <w:rsid w:val="00B369F7"/>
    <w:rsid w:val="00B4266E"/>
    <w:rsid w:val="00B52972"/>
    <w:rsid w:val="00B5339B"/>
    <w:rsid w:val="00B54E2F"/>
    <w:rsid w:val="00B7177F"/>
    <w:rsid w:val="00B91191"/>
    <w:rsid w:val="00B916EC"/>
    <w:rsid w:val="00B94450"/>
    <w:rsid w:val="00BA27C2"/>
    <w:rsid w:val="00BA3FC3"/>
    <w:rsid w:val="00BA5BF0"/>
    <w:rsid w:val="00BB1229"/>
    <w:rsid w:val="00BC6F11"/>
    <w:rsid w:val="00BC727C"/>
    <w:rsid w:val="00BD2ADF"/>
    <w:rsid w:val="00BD6722"/>
    <w:rsid w:val="00BD72F1"/>
    <w:rsid w:val="00BE3800"/>
    <w:rsid w:val="00BF7435"/>
    <w:rsid w:val="00C00C52"/>
    <w:rsid w:val="00C014EB"/>
    <w:rsid w:val="00C0219B"/>
    <w:rsid w:val="00C02F1F"/>
    <w:rsid w:val="00C10202"/>
    <w:rsid w:val="00C11C25"/>
    <w:rsid w:val="00C14803"/>
    <w:rsid w:val="00C16D24"/>
    <w:rsid w:val="00C216A8"/>
    <w:rsid w:val="00C22288"/>
    <w:rsid w:val="00C319EA"/>
    <w:rsid w:val="00C32278"/>
    <w:rsid w:val="00C555C2"/>
    <w:rsid w:val="00C605C6"/>
    <w:rsid w:val="00C60709"/>
    <w:rsid w:val="00C61B1E"/>
    <w:rsid w:val="00C740B8"/>
    <w:rsid w:val="00C748C0"/>
    <w:rsid w:val="00C77515"/>
    <w:rsid w:val="00C84583"/>
    <w:rsid w:val="00C943F8"/>
    <w:rsid w:val="00C957AA"/>
    <w:rsid w:val="00C967B5"/>
    <w:rsid w:val="00CB3597"/>
    <w:rsid w:val="00CB6795"/>
    <w:rsid w:val="00CC413E"/>
    <w:rsid w:val="00CC6671"/>
    <w:rsid w:val="00CD198E"/>
    <w:rsid w:val="00CE1608"/>
    <w:rsid w:val="00CE2AB8"/>
    <w:rsid w:val="00CE553D"/>
    <w:rsid w:val="00CE618C"/>
    <w:rsid w:val="00CE6370"/>
    <w:rsid w:val="00CF0D48"/>
    <w:rsid w:val="00D00772"/>
    <w:rsid w:val="00D010E0"/>
    <w:rsid w:val="00D11892"/>
    <w:rsid w:val="00D21DD0"/>
    <w:rsid w:val="00D223C1"/>
    <w:rsid w:val="00D444CB"/>
    <w:rsid w:val="00D45219"/>
    <w:rsid w:val="00D5115E"/>
    <w:rsid w:val="00D51700"/>
    <w:rsid w:val="00D534CE"/>
    <w:rsid w:val="00D56D3D"/>
    <w:rsid w:val="00D6122E"/>
    <w:rsid w:val="00D72984"/>
    <w:rsid w:val="00D830CB"/>
    <w:rsid w:val="00D845FC"/>
    <w:rsid w:val="00D90DE4"/>
    <w:rsid w:val="00D90F29"/>
    <w:rsid w:val="00D96CB6"/>
    <w:rsid w:val="00DB7B93"/>
    <w:rsid w:val="00DC2EAB"/>
    <w:rsid w:val="00DD0B42"/>
    <w:rsid w:val="00DD2A86"/>
    <w:rsid w:val="00DD5025"/>
    <w:rsid w:val="00DD57EC"/>
    <w:rsid w:val="00DE2B95"/>
    <w:rsid w:val="00DF04A6"/>
    <w:rsid w:val="00DF572F"/>
    <w:rsid w:val="00E069DF"/>
    <w:rsid w:val="00E17E64"/>
    <w:rsid w:val="00E32BC6"/>
    <w:rsid w:val="00E32C8E"/>
    <w:rsid w:val="00E3762A"/>
    <w:rsid w:val="00E5020B"/>
    <w:rsid w:val="00E5032B"/>
    <w:rsid w:val="00E5151B"/>
    <w:rsid w:val="00E63CDE"/>
    <w:rsid w:val="00E66EBB"/>
    <w:rsid w:val="00E670BB"/>
    <w:rsid w:val="00E67D63"/>
    <w:rsid w:val="00E76E99"/>
    <w:rsid w:val="00E87BAA"/>
    <w:rsid w:val="00E908F8"/>
    <w:rsid w:val="00E9415F"/>
    <w:rsid w:val="00E954D8"/>
    <w:rsid w:val="00EA0440"/>
    <w:rsid w:val="00EA0FAD"/>
    <w:rsid w:val="00EA1DEB"/>
    <w:rsid w:val="00EA21B6"/>
    <w:rsid w:val="00EA7727"/>
    <w:rsid w:val="00EB4CF2"/>
    <w:rsid w:val="00ED08D6"/>
    <w:rsid w:val="00EE4E1B"/>
    <w:rsid w:val="00EE5D73"/>
    <w:rsid w:val="00EF6DCD"/>
    <w:rsid w:val="00EF75F9"/>
    <w:rsid w:val="00F117BB"/>
    <w:rsid w:val="00F14F00"/>
    <w:rsid w:val="00F165E3"/>
    <w:rsid w:val="00F17592"/>
    <w:rsid w:val="00F26C49"/>
    <w:rsid w:val="00F30558"/>
    <w:rsid w:val="00F36539"/>
    <w:rsid w:val="00F4051A"/>
    <w:rsid w:val="00F45560"/>
    <w:rsid w:val="00F5188D"/>
    <w:rsid w:val="00F51A19"/>
    <w:rsid w:val="00F537CE"/>
    <w:rsid w:val="00F54615"/>
    <w:rsid w:val="00F64415"/>
    <w:rsid w:val="00F65431"/>
    <w:rsid w:val="00F67456"/>
    <w:rsid w:val="00F72DDB"/>
    <w:rsid w:val="00F74355"/>
    <w:rsid w:val="00F77794"/>
    <w:rsid w:val="00F80144"/>
    <w:rsid w:val="00F807C9"/>
    <w:rsid w:val="00F86F26"/>
    <w:rsid w:val="00F96C1F"/>
    <w:rsid w:val="00FB508C"/>
    <w:rsid w:val="00FB63DB"/>
    <w:rsid w:val="00FC4160"/>
    <w:rsid w:val="00FC45ED"/>
    <w:rsid w:val="00FC7D02"/>
    <w:rsid w:val="00FD3911"/>
    <w:rsid w:val="00FD41AF"/>
    <w:rsid w:val="00FD7D15"/>
    <w:rsid w:val="00FE1645"/>
    <w:rsid w:val="00FE1EFC"/>
    <w:rsid w:val="00FE4A51"/>
    <w:rsid w:val="00FF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2121"/>
  <w15:chartTrackingRefBased/>
  <w15:docId w15:val="{89D5832B-C7E7-49E0-B848-B04F576B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51976"/>
    <w:pPr>
      <w:spacing w:after="280" w:line="360" w:lineRule="atLeast"/>
      <w:textboxTightWrap w:val="lastLineOnly"/>
    </w:pPr>
    <w:rPr>
      <w:rFonts w:ascii="Arial" w:eastAsia="Times New Roman" w:hAnsi="Arial" w:cs="Times New Roman"/>
      <w:color w:val="000000"/>
      <w:kern w:val="0"/>
      <w:sz w:val="24"/>
      <w:szCs w:val="24"/>
      <w14:ligatures w14:val="none"/>
    </w:rPr>
  </w:style>
  <w:style w:type="paragraph" w:styleId="Heading2">
    <w:name w:val="heading 2"/>
    <w:next w:val="Normal"/>
    <w:link w:val="Heading2Char"/>
    <w:autoRedefine/>
    <w:uiPriority w:val="3"/>
    <w:qFormat/>
    <w:rsid w:val="00351976"/>
    <w:pPr>
      <w:keepNext/>
      <w:spacing w:before="400" w:after="120" w:line="240" w:lineRule="auto"/>
      <w:outlineLvl w:val="1"/>
    </w:pPr>
    <w:rPr>
      <w:rFonts w:ascii="Arial Bold" w:eastAsia="Times New Roman" w:hAnsi="Arial Bold" w:cs="Arial"/>
      <w:b/>
      <w:color w:val="005EB8"/>
      <w:kern w:val="28"/>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51976"/>
    <w:rPr>
      <w:rFonts w:ascii="Arial Bold" w:eastAsia="Times New Roman" w:hAnsi="Arial Bold" w:cs="Arial"/>
      <w:b/>
      <w:color w:val="005EB8"/>
      <w:kern w:val="28"/>
      <w:sz w:val="32"/>
      <w:szCs w:val="24"/>
    </w:rPr>
  </w:style>
  <w:style w:type="paragraph" w:styleId="ListParagraph">
    <w:name w:val="List Paragraph"/>
    <w:basedOn w:val="Normal"/>
    <w:link w:val="ListParagraphChar"/>
    <w:uiPriority w:val="34"/>
    <w:qFormat/>
    <w:rsid w:val="00351976"/>
    <w:pPr>
      <w:spacing w:after="180"/>
      <w:ind w:firstLine="360"/>
    </w:pPr>
  </w:style>
  <w:style w:type="character" w:customStyle="1" w:styleId="ListParagraphChar">
    <w:name w:val="List Paragraph Char"/>
    <w:basedOn w:val="DefaultParagraphFont"/>
    <w:link w:val="ListParagraph"/>
    <w:uiPriority w:val="34"/>
    <w:rsid w:val="00351976"/>
    <w:rPr>
      <w:rFonts w:ascii="Arial" w:eastAsia="Times New Roman" w:hAnsi="Arial" w:cs="Times New Roman"/>
      <w:color w:val="000000"/>
      <w:kern w:val="0"/>
      <w:sz w:val="24"/>
      <w:szCs w:val="24"/>
      <w14:ligatures w14:val="none"/>
    </w:rPr>
  </w:style>
  <w:style w:type="character" w:styleId="PlaceholderText">
    <w:name w:val="Placeholder Text"/>
    <w:basedOn w:val="DefaultParagraphFont"/>
    <w:uiPriority w:val="99"/>
    <w:semiHidden/>
    <w:rsid w:val="00351976"/>
    <w:rPr>
      <w:color w:val="808080"/>
    </w:rPr>
  </w:style>
  <w:style w:type="table" w:styleId="TableGrid">
    <w:name w:val="Table Grid"/>
    <w:basedOn w:val="TableNormal"/>
    <w:uiPriority w:val="39"/>
    <w:rsid w:val="0035197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C1"/>
    <w:pPr>
      <w:spacing w:after="0" w:line="240" w:lineRule="auto"/>
    </w:pPr>
    <w:rPr>
      <w:rFonts w:ascii="Arial" w:eastAsia="Times New Roman" w:hAnsi="Arial" w:cs="Times New Roman"/>
      <w:color w:val="000000"/>
      <w:kern w:val="0"/>
      <w:sz w:val="24"/>
      <w:szCs w:val="24"/>
      <w14:ligatures w14:val="none"/>
    </w:rPr>
  </w:style>
  <w:style w:type="paragraph" w:customStyle="1" w:styleId="paragraph">
    <w:name w:val="paragraph"/>
    <w:basedOn w:val="Normal"/>
    <w:rsid w:val="00D223C1"/>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D223C1"/>
  </w:style>
  <w:style w:type="character" w:customStyle="1" w:styleId="eop">
    <w:name w:val="eop"/>
    <w:basedOn w:val="DefaultParagraphFont"/>
    <w:rsid w:val="00D223C1"/>
  </w:style>
  <w:style w:type="character" w:styleId="CommentReference">
    <w:name w:val="annotation reference"/>
    <w:basedOn w:val="DefaultParagraphFont"/>
    <w:semiHidden/>
    <w:unhideWhenUsed/>
    <w:rsid w:val="000A1938"/>
    <w:rPr>
      <w:sz w:val="16"/>
      <w:szCs w:val="16"/>
    </w:rPr>
  </w:style>
  <w:style w:type="paragraph" w:styleId="CommentText">
    <w:name w:val="annotation text"/>
    <w:basedOn w:val="Normal"/>
    <w:link w:val="CommentTextChar"/>
    <w:unhideWhenUsed/>
    <w:rsid w:val="000A1938"/>
    <w:pPr>
      <w:spacing w:line="240" w:lineRule="auto"/>
    </w:pPr>
    <w:rPr>
      <w:sz w:val="20"/>
      <w:szCs w:val="20"/>
    </w:rPr>
  </w:style>
  <w:style w:type="character" w:customStyle="1" w:styleId="CommentTextChar">
    <w:name w:val="Comment Text Char"/>
    <w:basedOn w:val="DefaultParagraphFont"/>
    <w:link w:val="CommentText"/>
    <w:rsid w:val="000A1938"/>
    <w:rPr>
      <w:rFonts w:ascii="Arial" w:eastAsia="Times New Roman" w:hAnsi="Arial"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1938"/>
    <w:rPr>
      <w:b/>
      <w:bCs/>
    </w:rPr>
  </w:style>
  <w:style w:type="character" w:customStyle="1" w:styleId="CommentSubjectChar">
    <w:name w:val="Comment Subject Char"/>
    <w:basedOn w:val="CommentTextChar"/>
    <w:link w:val="CommentSubject"/>
    <w:uiPriority w:val="99"/>
    <w:semiHidden/>
    <w:rsid w:val="000A1938"/>
    <w:rPr>
      <w:rFonts w:ascii="Arial" w:eastAsia="Times New Roman" w:hAnsi="Arial" w:cs="Times New Roman"/>
      <w:b/>
      <w:bCs/>
      <w:color w:val="000000"/>
      <w:kern w:val="0"/>
      <w:sz w:val="20"/>
      <w:szCs w:val="20"/>
      <w14:ligatures w14:val="none"/>
    </w:rPr>
  </w:style>
  <w:style w:type="character" w:styleId="Hyperlink">
    <w:name w:val="Hyperlink"/>
    <w:basedOn w:val="DefaultParagraphFont"/>
    <w:uiPriority w:val="99"/>
    <w:unhideWhenUsed/>
    <w:rsid w:val="00417B32"/>
    <w:rPr>
      <w:color w:val="0563C1" w:themeColor="hyperlink"/>
      <w:u w:val="single"/>
    </w:rPr>
  </w:style>
  <w:style w:type="character" w:styleId="UnresolvedMention">
    <w:name w:val="Unresolved Mention"/>
    <w:basedOn w:val="DefaultParagraphFont"/>
    <w:uiPriority w:val="99"/>
    <w:semiHidden/>
    <w:unhideWhenUsed/>
    <w:rsid w:val="00417B32"/>
    <w:rPr>
      <w:color w:val="605E5C"/>
      <w:shd w:val="clear" w:color="auto" w:fill="E1DFDD"/>
    </w:rPr>
  </w:style>
  <w:style w:type="paragraph" w:customStyle="1" w:styleId="Default">
    <w:name w:val="Default"/>
    <w:rsid w:val="0032091E"/>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BC6F11"/>
    <w:pPr>
      <w:spacing w:after="0" w:line="240" w:lineRule="auto"/>
      <w:textboxTightWrap w:val="lastLineOnly"/>
    </w:pPr>
    <w:rPr>
      <w:rFonts w:ascii="Arial" w:eastAsia="Times New Roman" w:hAnsi="Arial"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08118">
      <w:bodyDiv w:val="1"/>
      <w:marLeft w:val="0"/>
      <w:marRight w:val="0"/>
      <w:marTop w:val="0"/>
      <w:marBottom w:val="0"/>
      <w:divBdr>
        <w:top w:val="none" w:sz="0" w:space="0" w:color="auto"/>
        <w:left w:val="none" w:sz="0" w:space="0" w:color="auto"/>
        <w:bottom w:val="none" w:sz="0" w:space="0" w:color="auto"/>
        <w:right w:val="none" w:sz="0" w:space="0" w:color="auto"/>
      </w:divBdr>
    </w:div>
    <w:div w:id="329600546">
      <w:bodyDiv w:val="1"/>
      <w:marLeft w:val="0"/>
      <w:marRight w:val="0"/>
      <w:marTop w:val="0"/>
      <w:marBottom w:val="0"/>
      <w:divBdr>
        <w:top w:val="none" w:sz="0" w:space="0" w:color="auto"/>
        <w:left w:val="none" w:sz="0" w:space="0" w:color="auto"/>
        <w:bottom w:val="none" w:sz="0" w:space="0" w:color="auto"/>
        <w:right w:val="none" w:sz="0" w:space="0" w:color="auto"/>
      </w:divBdr>
    </w:div>
    <w:div w:id="344673274">
      <w:bodyDiv w:val="1"/>
      <w:marLeft w:val="0"/>
      <w:marRight w:val="0"/>
      <w:marTop w:val="0"/>
      <w:marBottom w:val="0"/>
      <w:divBdr>
        <w:top w:val="none" w:sz="0" w:space="0" w:color="auto"/>
        <w:left w:val="none" w:sz="0" w:space="0" w:color="auto"/>
        <w:bottom w:val="none" w:sz="0" w:space="0" w:color="auto"/>
        <w:right w:val="none" w:sz="0" w:space="0" w:color="auto"/>
      </w:divBdr>
      <w:divsChild>
        <w:div w:id="1539321590">
          <w:marLeft w:val="0"/>
          <w:marRight w:val="0"/>
          <w:marTop w:val="0"/>
          <w:marBottom w:val="0"/>
          <w:divBdr>
            <w:top w:val="none" w:sz="0" w:space="0" w:color="auto"/>
            <w:left w:val="none" w:sz="0" w:space="0" w:color="auto"/>
            <w:bottom w:val="none" w:sz="0" w:space="0" w:color="auto"/>
            <w:right w:val="none" w:sz="0" w:space="0" w:color="auto"/>
          </w:divBdr>
        </w:div>
        <w:div w:id="546987275">
          <w:marLeft w:val="0"/>
          <w:marRight w:val="0"/>
          <w:marTop w:val="0"/>
          <w:marBottom w:val="0"/>
          <w:divBdr>
            <w:top w:val="none" w:sz="0" w:space="0" w:color="auto"/>
            <w:left w:val="none" w:sz="0" w:space="0" w:color="auto"/>
            <w:bottom w:val="none" w:sz="0" w:space="0" w:color="auto"/>
            <w:right w:val="none" w:sz="0" w:space="0" w:color="auto"/>
          </w:divBdr>
        </w:div>
        <w:div w:id="298078445">
          <w:marLeft w:val="0"/>
          <w:marRight w:val="0"/>
          <w:marTop w:val="0"/>
          <w:marBottom w:val="0"/>
          <w:divBdr>
            <w:top w:val="none" w:sz="0" w:space="0" w:color="auto"/>
            <w:left w:val="none" w:sz="0" w:space="0" w:color="auto"/>
            <w:bottom w:val="none" w:sz="0" w:space="0" w:color="auto"/>
            <w:right w:val="none" w:sz="0" w:space="0" w:color="auto"/>
          </w:divBdr>
        </w:div>
        <w:div w:id="981622598">
          <w:marLeft w:val="0"/>
          <w:marRight w:val="0"/>
          <w:marTop w:val="0"/>
          <w:marBottom w:val="0"/>
          <w:divBdr>
            <w:top w:val="none" w:sz="0" w:space="0" w:color="auto"/>
            <w:left w:val="none" w:sz="0" w:space="0" w:color="auto"/>
            <w:bottom w:val="none" w:sz="0" w:space="0" w:color="auto"/>
            <w:right w:val="none" w:sz="0" w:space="0" w:color="auto"/>
          </w:divBdr>
        </w:div>
      </w:divsChild>
    </w:div>
    <w:div w:id="1151673400">
      <w:bodyDiv w:val="1"/>
      <w:marLeft w:val="0"/>
      <w:marRight w:val="0"/>
      <w:marTop w:val="0"/>
      <w:marBottom w:val="0"/>
      <w:divBdr>
        <w:top w:val="none" w:sz="0" w:space="0" w:color="auto"/>
        <w:left w:val="none" w:sz="0" w:space="0" w:color="auto"/>
        <w:bottom w:val="none" w:sz="0" w:space="0" w:color="auto"/>
        <w:right w:val="none" w:sz="0" w:space="0" w:color="auto"/>
      </w:divBdr>
      <w:divsChild>
        <w:div w:id="1799881555">
          <w:marLeft w:val="274"/>
          <w:marRight w:val="0"/>
          <w:marTop w:val="0"/>
          <w:marBottom w:val="0"/>
          <w:divBdr>
            <w:top w:val="none" w:sz="0" w:space="0" w:color="auto"/>
            <w:left w:val="none" w:sz="0" w:space="0" w:color="auto"/>
            <w:bottom w:val="none" w:sz="0" w:space="0" w:color="auto"/>
            <w:right w:val="none" w:sz="0" w:space="0" w:color="auto"/>
          </w:divBdr>
        </w:div>
        <w:div w:id="1623609793">
          <w:marLeft w:val="274"/>
          <w:marRight w:val="0"/>
          <w:marTop w:val="0"/>
          <w:marBottom w:val="0"/>
          <w:divBdr>
            <w:top w:val="none" w:sz="0" w:space="0" w:color="auto"/>
            <w:left w:val="none" w:sz="0" w:space="0" w:color="auto"/>
            <w:bottom w:val="none" w:sz="0" w:space="0" w:color="auto"/>
            <w:right w:val="none" w:sz="0" w:space="0" w:color="auto"/>
          </w:divBdr>
        </w:div>
        <w:div w:id="825972961">
          <w:marLeft w:val="274"/>
          <w:marRight w:val="0"/>
          <w:marTop w:val="0"/>
          <w:marBottom w:val="0"/>
          <w:divBdr>
            <w:top w:val="none" w:sz="0" w:space="0" w:color="auto"/>
            <w:left w:val="none" w:sz="0" w:space="0" w:color="auto"/>
            <w:bottom w:val="none" w:sz="0" w:space="0" w:color="auto"/>
            <w:right w:val="none" w:sz="0" w:space="0" w:color="auto"/>
          </w:divBdr>
        </w:div>
        <w:div w:id="530462187">
          <w:marLeft w:val="274"/>
          <w:marRight w:val="0"/>
          <w:marTop w:val="0"/>
          <w:marBottom w:val="0"/>
          <w:divBdr>
            <w:top w:val="none" w:sz="0" w:space="0" w:color="auto"/>
            <w:left w:val="none" w:sz="0" w:space="0" w:color="auto"/>
            <w:bottom w:val="none" w:sz="0" w:space="0" w:color="auto"/>
            <w:right w:val="none" w:sz="0" w:space="0" w:color="auto"/>
          </w:divBdr>
        </w:div>
        <w:div w:id="566259387">
          <w:marLeft w:val="274"/>
          <w:marRight w:val="0"/>
          <w:marTop w:val="0"/>
          <w:marBottom w:val="0"/>
          <w:divBdr>
            <w:top w:val="none" w:sz="0" w:space="0" w:color="auto"/>
            <w:left w:val="none" w:sz="0" w:space="0" w:color="auto"/>
            <w:bottom w:val="none" w:sz="0" w:space="0" w:color="auto"/>
            <w:right w:val="none" w:sz="0" w:space="0" w:color="auto"/>
          </w:divBdr>
        </w:div>
        <w:div w:id="255406206">
          <w:marLeft w:val="274"/>
          <w:marRight w:val="0"/>
          <w:marTop w:val="0"/>
          <w:marBottom w:val="0"/>
          <w:divBdr>
            <w:top w:val="none" w:sz="0" w:space="0" w:color="auto"/>
            <w:left w:val="none" w:sz="0" w:space="0" w:color="auto"/>
            <w:bottom w:val="none" w:sz="0" w:space="0" w:color="auto"/>
            <w:right w:val="none" w:sz="0" w:space="0" w:color="auto"/>
          </w:divBdr>
        </w:div>
        <w:div w:id="1967201800">
          <w:marLeft w:val="274"/>
          <w:marRight w:val="0"/>
          <w:marTop w:val="0"/>
          <w:marBottom w:val="0"/>
          <w:divBdr>
            <w:top w:val="none" w:sz="0" w:space="0" w:color="auto"/>
            <w:left w:val="none" w:sz="0" w:space="0" w:color="auto"/>
            <w:bottom w:val="none" w:sz="0" w:space="0" w:color="auto"/>
            <w:right w:val="none" w:sz="0" w:space="0" w:color="auto"/>
          </w:divBdr>
        </w:div>
        <w:div w:id="741684713">
          <w:marLeft w:val="274"/>
          <w:marRight w:val="0"/>
          <w:marTop w:val="0"/>
          <w:marBottom w:val="0"/>
          <w:divBdr>
            <w:top w:val="none" w:sz="0" w:space="0" w:color="auto"/>
            <w:left w:val="none" w:sz="0" w:space="0" w:color="auto"/>
            <w:bottom w:val="none" w:sz="0" w:space="0" w:color="auto"/>
            <w:right w:val="none" w:sz="0" w:space="0" w:color="auto"/>
          </w:divBdr>
        </w:div>
      </w:divsChild>
    </w:div>
    <w:div w:id="1153913062">
      <w:bodyDiv w:val="1"/>
      <w:marLeft w:val="0"/>
      <w:marRight w:val="0"/>
      <w:marTop w:val="0"/>
      <w:marBottom w:val="0"/>
      <w:divBdr>
        <w:top w:val="none" w:sz="0" w:space="0" w:color="auto"/>
        <w:left w:val="none" w:sz="0" w:space="0" w:color="auto"/>
        <w:bottom w:val="none" w:sz="0" w:space="0" w:color="auto"/>
        <w:right w:val="none" w:sz="0" w:space="0" w:color="auto"/>
      </w:divBdr>
    </w:div>
    <w:div w:id="1333950730">
      <w:bodyDiv w:val="1"/>
      <w:marLeft w:val="0"/>
      <w:marRight w:val="0"/>
      <w:marTop w:val="0"/>
      <w:marBottom w:val="0"/>
      <w:divBdr>
        <w:top w:val="none" w:sz="0" w:space="0" w:color="auto"/>
        <w:left w:val="none" w:sz="0" w:space="0" w:color="auto"/>
        <w:bottom w:val="none" w:sz="0" w:space="0" w:color="auto"/>
        <w:right w:val="none" w:sz="0" w:space="0" w:color="auto"/>
      </w:divBdr>
    </w:div>
    <w:div w:id="1479609120">
      <w:bodyDiv w:val="1"/>
      <w:marLeft w:val="0"/>
      <w:marRight w:val="0"/>
      <w:marTop w:val="0"/>
      <w:marBottom w:val="0"/>
      <w:divBdr>
        <w:top w:val="none" w:sz="0" w:space="0" w:color="auto"/>
        <w:left w:val="none" w:sz="0" w:space="0" w:color="auto"/>
        <w:bottom w:val="none" w:sz="0" w:space="0" w:color="auto"/>
        <w:right w:val="none" w:sz="0" w:space="0" w:color="auto"/>
      </w:divBdr>
      <w:divsChild>
        <w:div w:id="967315944">
          <w:marLeft w:val="0"/>
          <w:marRight w:val="0"/>
          <w:marTop w:val="0"/>
          <w:marBottom w:val="0"/>
          <w:divBdr>
            <w:top w:val="none" w:sz="0" w:space="0" w:color="auto"/>
            <w:left w:val="none" w:sz="0" w:space="0" w:color="auto"/>
            <w:bottom w:val="none" w:sz="0" w:space="0" w:color="auto"/>
            <w:right w:val="none" w:sz="0" w:space="0" w:color="auto"/>
          </w:divBdr>
        </w:div>
        <w:div w:id="42993396">
          <w:marLeft w:val="0"/>
          <w:marRight w:val="0"/>
          <w:marTop w:val="0"/>
          <w:marBottom w:val="0"/>
          <w:divBdr>
            <w:top w:val="none" w:sz="0" w:space="0" w:color="auto"/>
            <w:left w:val="none" w:sz="0" w:space="0" w:color="auto"/>
            <w:bottom w:val="none" w:sz="0" w:space="0" w:color="auto"/>
            <w:right w:val="none" w:sz="0" w:space="0" w:color="auto"/>
          </w:divBdr>
        </w:div>
        <w:div w:id="1260790521">
          <w:marLeft w:val="0"/>
          <w:marRight w:val="0"/>
          <w:marTop w:val="0"/>
          <w:marBottom w:val="0"/>
          <w:divBdr>
            <w:top w:val="none" w:sz="0" w:space="0" w:color="auto"/>
            <w:left w:val="none" w:sz="0" w:space="0" w:color="auto"/>
            <w:bottom w:val="none" w:sz="0" w:space="0" w:color="auto"/>
            <w:right w:val="none" w:sz="0" w:space="0" w:color="auto"/>
          </w:divBdr>
        </w:div>
        <w:div w:id="1113478298">
          <w:marLeft w:val="0"/>
          <w:marRight w:val="0"/>
          <w:marTop w:val="0"/>
          <w:marBottom w:val="0"/>
          <w:divBdr>
            <w:top w:val="none" w:sz="0" w:space="0" w:color="auto"/>
            <w:left w:val="none" w:sz="0" w:space="0" w:color="auto"/>
            <w:bottom w:val="none" w:sz="0" w:space="0" w:color="auto"/>
            <w:right w:val="none" w:sz="0" w:space="0" w:color="auto"/>
          </w:divBdr>
        </w:div>
        <w:div w:id="984506273">
          <w:marLeft w:val="0"/>
          <w:marRight w:val="0"/>
          <w:marTop w:val="0"/>
          <w:marBottom w:val="0"/>
          <w:divBdr>
            <w:top w:val="none" w:sz="0" w:space="0" w:color="auto"/>
            <w:left w:val="none" w:sz="0" w:space="0" w:color="auto"/>
            <w:bottom w:val="none" w:sz="0" w:space="0" w:color="auto"/>
            <w:right w:val="none" w:sz="0" w:space="0" w:color="auto"/>
          </w:divBdr>
        </w:div>
      </w:divsChild>
    </w:div>
    <w:div w:id="1701780448">
      <w:bodyDiv w:val="1"/>
      <w:marLeft w:val="0"/>
      <w:marRight w:val="0"/>
      <w:marTop w:val="0"/>
      <w:marBottom w:val="0"/>
      <w:divBdr>
        <w:top w:val="none" w:sz="0" w:space="0" w:color="auto"/>
        <w:left w:val="none" w:sz="0" w:space="0" w:color="auto"/>
        <w:bottom w:val="none" w:sz="0" w:space="0" w:color="auto"/>
        <w:right w:val="none" w:sz="0" w:space="0" w:color="auto"/>
      </w:divBdr>
    </w:div>
    <w:div w:id="20818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greenernhs/a-net-zero-nh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bswtogether.org.uk/about-us/greener-bsw/"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C52E5283E948F397B1F9D0EC93E97C"/>
        <w:category>
          <w:name w:val="General"/>
          <w:gallery w:val="placeholder"/>
        </w:category>
        <w:types>
          <w:type w:val="bbPlcHdr"/>
        </w:types>
        <w:behaviors>
          <w:behavior w:val="content"/>
        </w:behaviors>
        <w:guid w:val="{93AE14F8-629F-418B-8901-E3978A2A9C23}"/>
      </w:docPartPr>
      <w:docPartBody>
        <w:p w:rsidR="00FC1EC2" w:rsidRDefault="00FC1EC2" w:rsidP="00FC1EC2">
          <w:pPr>
            <w:pStyle w:val="76C52E5283E948F397B1F9D0EC93E97C"/>
          </w:pPr>
          <w:r w:rsidRPr="009823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C2"/>
    <w:rsid w:val="00070773"/>
    <w:rsid w:val="001827AC"/>
    <w:rsid w:val="00184EAA"/>
    <w:rsid w:val="00247DF1"/>
    <w:rsid w:val="002740E1"/>
    <w:rsid w:val="00306631"/>
    <w:rsid w:val="00354B13"/>
    <w:rsid w:val="004B01A9"/>
    <w:rsid w:val="005B3647"/>
    <w:rsid w:val="0067144F"/>
    <w:rsid w:val="006D205A"/>
    <w:rsid w:val="007C1E37"/>
    <w:rsid w:val="00AE78FB"/>
    <w:rsid w:val="00B252DD"/>
    <w:rsid w:val="00D42796"/>
    <w:rsid w:val="00D6122E"/>
    <w:rsid w:val="00E76E99"/>
    <w:rsid w:val="00FC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C2"/>
    <w:rPr>
      <w:color w:val="808080"/>
    </w:rPr>
  </w:style>
  <w:style w:type="paragraph" w:customStyle="1" w:styleId="76C52E5283E948F397B1F9D0EC93E97C">
    <w:name w:val="76C52E5283E948F397B1F9D0EC93E97C"/>
    <w:rsid w:val="00FC1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f46-efe1-4544-843d-6ff52fb05842">
      <Terms xmlns="http://schemas.microsoft.com/office/infopath/2007/PartnerControls"/>
    </lcf76f155ced4ddcb4097134ff3c332f>
    <TaxCatchAll xmlns="cccaf3ac-2de9-44d4-aa31-54302fceb5f7" xsi:nil="true"/>
    <Review_x0020_Date xmlns="f3aabf46-efe1-4544-843d-6ff52fb0584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5F49A050468C44BEBE787D58D17299" ma:contentTypeVersion="33" ma:contentTypeDescription="Create a new document." ma:contentTypeScope="" ma:versionID="58a67aedf6d2b64cf78046e5dc735b24">
  <xsd:schema xmlns:xsd="http://www.w3.org/2001/XMLSchema" xmlns:xs="http://www.w3.org/2001/XMLSchema" xmlns:p="http://schemas.microsoft.com/office/2006/metadata/properties" xmlns:ns1="http://schemas.microsoft.com/sharepoint/v3" xmlns:ns2="56d5910f-b346-4e68-aabe-d296ee4e7db0" xmlns:ns3="f3aabf46-efe1-4544-843d-6ff52fb05842" xmlns:ns4="51bfcd92-eb3e-40f4-8778-2bbfb88a890b" xmlns:ns5="cccaf3ac-2de9-44d4-aa31-54302fceb5f7" targetNamespace="http://schemas.microsoft.com/office/2006/metadata/properties" ma:root="true" ma:fieldsID="8821be629621c003089c6600059f378d" ns1:_="" ns2:_="" ns3:_="" ns4:_="" ns5:_="">
    <xsd:import namespace="http://schemas.microsoft.com/sharepoint/v3"/>
    <xsd:import namespace="56d5910f-b346-4e68-aabe-d296ee4e7db0"/>
    <xsd:import namespace="f3aabf46-efe1-4544-843d-6ff52fb05842"/>
    <xsd:import namespace="51bfcd92-eb3e-40f4-8778-2bbfb88a890b"/>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3:Review_x0020_Date"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5: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5910f-b346-4e68-aabe-d296ee4e7d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abf46-efe1-4544-843d-6ff52fb05842"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46682-A01E-4A97-83C5-52727B9B1A7C}">
  <ds:schemaRefs>
    <ds:schemaRef ds:uri="http://schemas.openxmlformats.org/officeDocument/2006/bibliography"/>
  </ds:schemaRefs>
</ds:datastoreItem>
</file>

<file path=customXml/itemProps2.xml><?xml version="1.0" encoding="utf-8"?>
<ds:datastoreItem xmlns:ds="http://schemas.openxmlformats.org/officeDocument/2006/customXml" ds:itemID="{9698B9D2-1F22-460B-9773-821797F413E3}">
  <ds:schemaRefs>
    <ds:schemaRef ds:uri="http://schemas.microsoft.com/office/2006/metadata/properties"/>
    <ds:schemaRef ds:uri="http://schemas.microsoft.com/office/infopath/2007/PartnerControls"/>
    <ds:schemaRef ds:uri="f3aabf46-efe1-4544-843d-6ff52fb05842"/>
    <ds:schemaRef ds:uri="cccaf3ac-2de9-44d4-aa31-54302fceb5f7"/>
    <ds:schemaRef ds:uri="http://schemas.microsoft.com/sharepoint/v3"/>
  </ds:schemaRefs>
</ds:datastoreItem>
</file>

<file path=customXml/itemProps3.xml><?xml version="1.0" encoding="utf-8"?>
<ds:datastoreItem xmlns:ds="http://schemas.openxmlformats.org/officeDocument/2006/customXml" ds:itemID="{00B1F9AA-B5ED-48DD-8B32-63A01465EACB}">
  <ds:schemaRefs>
    <ds:schemaRef ds:uri="http://schemas.microsoft.com/sharepoint/v3/contenttype/forms"/>
  </ds:schemaRefs>
</ds:datastoreItem>
</file>

<file path=customXml/itemProps4.xml><?xml version="1.0" encoding="utf-8"?>
<ds:datastoreItem xmlns:ds="http://schemas.openxmlformats.org/officeDocument/2006/customXml" ds:itemID="{D8144CC0-3283-431D-AD84-E870251C5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d5910f-b346-4e68-aabe-d296ee4e7db0"/>
    <ds:schemaRef ds:uri="f3aabf46-efe1-4544-843d-6ff52fb05842"/>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15</Pages>
  <Words>5065</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Bishop</dc:creator>
  <cp:keywords/>
  <dc:description/>
  <cp:lastModifiedBy>HENEAGE, Gary (NHS BATH AND NORTH EAST SOMERSET, SWINDON AND WILTSHIRE ICB - 92G)</cp:lastModifiedBy>
  <cp:revision>3</cp:revision>
  <dcterms:created xsi:type="dcterms:W3CDTF">2024-08-16T14:52:00Z</dcterms:created>
  <dcterms:modified xsi:type="dcterms:W3CDTF">2024-08-16T14:53:00Z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58;#Template|aff1a68b-1933-4dcf-8d00-314af96fd52f</vt:lpwstr>
  </property>
  <property fmtid="{D5CDD505-2E9C-101B-9397-08002B2CF9AE}" pid="3" name="_dlc_policyId">
    <vt:lpwstr>0x010100248FFECF8F0D554792D64B70CF7BF038|1875765322</vt:lpwstr>
  </property>
  <property fmtid="{D5CDD505-2E9C-101B-9397-08002B2CF9AE}" pid="4" name="MediaServiceImageTags">
    <vt:lpwstr/>
  </property>
  <property fmtid="{D5CDD505-2E9C-101B-9397-08002B2CF9AE}" pid="5" name="ContentTypeId">
    <vt:lpwstr>0x0101002F5F49A050468C44BEBE787D58D17299</vt:lpwstr>
  </property>
  <property fmtid="{D5CDD505-2E9C-101B-9397-08002B2CF9AE}" pid="6"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7" name="PortfolioCode">
    <vt:lpwstr>1;#P0404/00 - Communications [Corporate Function-Digital Transformation - Beverley Bryant]|4d1365a3-4553-4328-b183-fb2da2713d14</vt:lpwstr>
  </property>
</Properties>
</file>